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3CD4" w14:textId="510D7AB8" w:rsidR="0045109C" w:rsidRDefault="0045109C">
      <w:pPr>
        <w:rPr>
          <w:rFonts w:ascii="Georgia" w:hAnsi="Georgia"/>
          <w:color w:val="000000"/>
          <w:sz w:val="28"/>
          <w:szCs w:val="28"/>
        </w:rPr>
      </w:pPr>
      <w:r>
        <w:rPr>
          <w:rFonts w:ascii="Georgia" w:hAnsi="Georgia"/>
          <w:color w:val="000000"/>
          <w:sz w:val="28"/>
          <w:szCs w:val="28"/>
        </w:rPr>
        <w:t>Výňatky z rozsudku NSS 10As139/2021-53</w:t>
      </w:r>
    </w:p>
    <w:p w14:paraId="0D29B399" w14:textId="13DBA464" w:rsidR="0045109C" w:rsidRDefault="0045109C">
      <w:pPr>
        <w:rPr>
          <w:rFonts w:ascii="Georgia" w:hAnsi="Georgia"/>
          <w:color w:val="000000"/>
          <w:sz w:val="28"/>
          <w:szCs w:val="28"/>
        </w:rPr>
      </w:pPr>
    </w:p>
    <w:p w14:paraId="6C3E3F75" w14:textId="62E837E3" w:rsidR="0045109C" w:rsidRDefault="0045109C">
      <w:pPr>
        <w:rPr>
          <w:rFonts w:ascii="Georgia" w:hAnsi="Georgia"/>
          <w:color w:val="000000"/>
          <w:sz w:val="28"/>
          <w:szCs w:val="28"/>
        </w:rPr>
      </w:pPr>
      <w:r>
        <w:rPr>
          <w:rFonts w:ascii="Georgia" w:hAnsi="Georgia"/>
          <w:color w:val="000000"/>
          <w:sz w:val="28"/>
          <w:szCs w:val="28"/>
        </w:rPr>
        <w:t>[12] Krajský soud</w:t>
      </w:r>
      <w:r>
        <w:rPr>
          <w:rFonts w:ascii="Georgia" w:hAnsi="Georgia"/>
          <w:color w:val="000000"/>
          <w:sz w:val="28"/>
          <w:szCs w:val="28"/>
        </w:rPr>
        <w:t xml:space="preserve"> v</w:t>
      </w:r>
      <w:r>
        <w:rPr>
          <w:rFonts w:ascii="Georgia" w:hAnsi="Georgia"/>
          <w:color w:val="000000"/>
          <w:sz w:val="28"/>
          <w:szCs w:val="28"/>
        </w:rPr>
        <w:t xml:space="preserve"> rozsudku především zdůraznil, že územní plán nesmí podmínit využití plochy napojením pozemku na vodovodní či kanalizační řad.</w:t>
      </w:r>
    </w:p>
    <w:p w14:paraId="3B4A9C0F" w14:textId="6F83738B" w:rsidR="0045109C" w:rsidRDefault="0045109C">
      <w:pPr>
        <w:rPr>
          <w:rFonts w:ascii="Georgia" w:hAnsi="Georgia"/>
          <w:color w:val="000000"/>
          <w:sz w:val="28"/>
          <w:szCs w:val="28"/>
        </w:rPr>
      </w:pPr>
      <w:r>
        <w:rPr>
          <w:rFonts w:ascii="Georgia" w:hAnsi="Georgia"/>
          <w:color w:val="000000"/>
          <w:sz w:val="28"/>
          <w:szCs w:val="28"/>
        </w:rPr>
        <w:t xml:space="preserve">(16) </w:t>
      </w:r>
      <w:r>
        <w:rPr>
          <w:rFonts w:ascii="Georgia" w:hAnsi="Georgia"/>
          <w:color w:val="000000"/>
          <w:sz w:val="28"/>
          <w:szCs w:val="28"/>
        </w:rPr>
        <w:t>Požadavek územního plánu na napojení stavby na síť elektrické energie a splaškovou kanalizaci stejně jako požadavek na konkrétní technické parametry provedení příjezdové místní komunikace jsou regulativy, které stanovují podmínky pro napojení staveb na veřejnou dopravní a technickou infrastrukturu, a tedy jde o podmínky, které ve své podrobnosti náleží regulačnímu plánu.</w:t>
      </w:r>
    </w:p>
    <w:p w14:paraId="20F4964E" w14:textId="01B4DEB4" w:rsidR="0045109C" w:rsidRDefault="0045109C">
      <w:pPr>
        <w:rPr>
          <w:rFonts w:ascii="Georgia" w:hAnsi="Georgia"/>
          <w:color w:val="000000"/>
          <w:sz w:val="28"/>
          <w:szCs w:val="28"/>
        </w:rPr>
      </w:pPr>
      <w:r>
        <w:rPr>
          <w:rFonts w:ascii="Georgia" w:hAnsi="Georgia"/>
          <w:color w:val="000000"/>
          <w:sz w:val="28"/>
          <w:szCs w:val="28"/>
        </w:rPr>
        <w:t>[17] Například ve vztahu k odkanalizování stavby legislativa připouští, že připojení stavby na kanalizaci je povinné, pokud je technicky možné a pokud je taková povinnost stanovena rozhodnutím obecního úřadu. Právo umožňuje několik možných řešení odkanalizování stavby (jímky, domácí čističky odpadních vod, připojení na kanalizační síť), vhodnost jednotlivých řešení závisí na konkrétních podmínkách v daném území. Tyto detaily nelze řešit již v územním plánu</w:t>
      </w:r>
    </w:p>
    <w:p w14:paraId="12D04DB3" w14:textId="4300B169" w:rsidR="0045109C" w:rsidRDefault="0045109C">
      <w:pPr>
        <w:rPr>
          <w:rFonts w:ascii="Georgia" w:hAnsi="Georgia"/>
          <w:color w:val="000000"/>
          <w:sz w:val="28"/>
          <w:szCs w:val="28"/>
        </w:rPr>
      </w:pPr>
      <w:r>
        <w:rPr>
          <w:rFonts w:ascii="Georgia" w:hAnsi="Georgia"/>
          <w:color w:val="000000"/>
          <w:sz w:val="28"/>
          <w:szCs w:val="28"/>
        </w:rPr>
        <w:t xml:space="preserve">[21] Lokalita Ve Štítku je rozvojovým územím města Mníšek pod Brdy, jehož technická infrastruktura musí být koncepčně řešena ve vazbě na celoměstskou infrastrukturu. Toto řešení je třeba dále technicky podrobně vymezit v regulačním plánu a investičně zajistit pomocí plánovací smlouvy. Pak nemůže platit tvrzení stěžovatelky, že územně plánovací dokumentace nikdy nemůže obsahovat požadavky na způsoby napojení nemovitostí na technickou infrastrukturu, konkrétně zde na dosud vzdálenou splaškovou kanalizaci. Jistě je možné tyto podmínky stanovit v případě regulačních plánů nahrazujících územní rozhodnutí. Rovněž také regulační plány na </w:t>
      </w:r>
      <w:proofErr w:type="gramStart"/>
      <w:r>
        <w:rPr>
          <w:rFonts w:ascii="Georgia" w:hAnsi="Georgia"/>
          <w:color w:val="000000"/>
          <w:sz w:val="28"/>
          <w:szCs w:val="28"/>
        </w:rPr>
        <w:t>žádost ,</w:t>
      </w:r>
      <w:proofErr w:type="gramEnd"/>
      <w:r>
        <w:rPr>
          <w:rFonts w:ascii="Georgia" w:hAnsi="Georgia"/>
          <w:color w:val="000000"/>
          <w:sz w:val="28"/>
          <w:szCs w:val="28"/>
        </w:rPr>
        <w:t xml:space="preserve"> jejichž součástí jsou návrhy plánovací smlouvy, takové způsoby napojení a zajištění financování potřebné infrastruktury mohou stanovit</w:t>
      </w:r>
    </w:p>
    <w:p w14:paraId="0CA2E922" w14:textId="780EC1E0" w:rsidR="0045109C" w:rsidRDefault="00F935DE">
      <w:r>
        <w:rPr>
          <w:rFonts w:ascii="Georgia" w:hAnsi="Georgia"/>
          <w:color w:val="000000"/>
          <w:sz w:val="28"/>
          <w:szCs w:val="28"/>
        </w:rPr>
        <w:t xml:space="preserve">(26) </w:t>
      </w:r>
      <w:r w:rsidR="0045109C">
        <w:rPr>
          <w:rFonts w:ascii="Georgia" w:hAnsi="Georgia"/>
          <w:color w:val="000000"/>
          <w:sz w:val="28"/>
          <w:szCs w:val="28"/>
        </w:rPr>
        <w:t xml:space="preserve">Zrušení územního plánu pro jeho nezákonnost spočívající ve stanovení nezákonných podmínek totiž nevyžaduje předchozí tomu odpovídající námitku (srov. již usnesení rozšířeného senátu NSS ze dne 16. 11. 2010, čj. 1 </w:t>
      </w:r>
      <w:proofErr w:type="spellStart"/>
      <w:r w:rsidR="0045109C">
        <w:rPr>
          <w:rFonts w:ascii="Georgia" w:hAnsi="Georgia"/>
          <w:color w:val="000000"/>
          <w:sz w:val="28"/>
          <w:szCs w:val="28"/>
        </w:rPr>
        <w:t>Ao</w:t>
      </w:r>
      <w:proofErr w:type="spellEnd"/>
      <w:r w:rsidR="0045109C">
        <w:rPr>
          <w:rFonts w:ascii="Georgia" w:hAnsi="Georgia"/>
          <w:color w:val="000000"/>
          <w:sz w:val="28"/>
          <w:szCs w:val="28"/>
        </w:rPr>
        <w:t xml:space="preserve"> 2/2010-116, č. 2215/2011 Sb. NSS, územní plán obce Moravany, body 25 až 32).</w:t>
      </w:r>
    </w:p>
    <w:sectPr w:rsidR="004510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9C"/>
    <w:rsid w:val="0045109C"/>
    <w:rsid w:val="00F93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63C6"/>
  <w15:chartTrackingRefBased/>
  <w15:docId w15:val="{4182EE2C-7376-4D96-B475-E8B7B084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AE971-53B7-4D23-98DC-4FFA531C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305</Words>
  <Characters>1802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Sapáková</dc:creator>
  <cp:keywords/>
  <dc:description/>
  <cp:lastModifiedBy>Jana Sapáková</cp:lastModifiedBy>
  <cp:revision>1</cp:revision>
  <dcterms:created xsi:type="dcterms:W3CDTF">2022-10-04T06:35:00Z</dcterms:created>
  <dcterms:modified xsi:type="dcterms:W3CDTF">2022-10-04T07:34:00Z</dcterms:modified>
</cp:coreProperties>
</file>