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C10AE" w14:textId="77777777" w:rsidR="00FF3CA8" w:rsidRPr="008B0A35" w:rsidRDefault="000D7311">
      <w:pPr>
        <w:spacing w:after="0"/>
        <w:rPr>
          <w:rFonts w:eastAsiaTheme="majorEastAsia" w:cs="Arial"/>
          <w:bCs/>
          <w:szCs w:val="20"/>
        </w:rPr>
      </w:pPr>
      <w:r w:rsidRPr="008B0A35">
        <w:rPr>
          <w:rFonts w:eastAsiaTheme="majorEastAsia" w:cs="Arial"/>
          <w:bCs/>
          <w:szCs w:val="20"/>
        </w:rPr>
        <w:t xml:space="preserve">14. Závazné výstupy PÚR a ZÚR </w:t>
      </w:r>
    </w:p>
    <w:p w14:paraId="36D8B209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I.</w:t>
      </w:r>
      <w:r w:rsidRPr="008B0A35">
        <w:rPr>
          <w:rFonts w:cs="Arial"/>
          <w:szCs w:val="20"/>
        </w:rPr>
        <w:tab/>
        <w:t>Úvod k tématu</w:t>
      </w:r>
    </w:p>
    <w:p w14:paraId="3232E068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II.</w:t>
      </w:r>
      <w:r w:rsidRPr="008B0A35">
        <w:rPr>
          <w:rFonts w:cs="Arial"/>
          <w:szCs w:val="20"/>
        </w:rPr>
        <w:tab/>
        <w:t>Sledované jevy ÚAP ČR</w:t>
      </w:r>
    </w:p>
    <w:p w14:paraId="64D7C727" w14:textId="77777777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 xml:space="preserve">14.1 Rozvojové oblasti </w:t>
      </w:r>
      <w:r w:rsidRPr="00534BF9">
        <w:rPr>
          <w:rFonts w:cs="Arial"/>
          <w:color w:val="000000" w:themeColor="text1"/>
          <w:szCs w:val="20"/>
        </w:rPr>
        <w:t xml:space="preserve">republikového významu </w:t>
      </w:r>
      <w:r w:rsidRPr="008B0A35">
        <w:rPr>
          <w:rFonts w:cs="Arial"/>
          <w:color w:val="000000" w:themeColor="text1"/>
          <w:szCs w:val="20"/>
        </w:rPr>
        <w:t>dle PÚR upřesněné v ZÚR</w:t>
      </w:r>
    </w:p>
    <w:p w14:paraId="4500070C" w14:textId="77777777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 xml:space="preserve">14.2 Rozvojové osy </w:t>
      </w:r>
      <w:r w:rsidRPr="00534BF9">
        <w:rPr>
          <w:rFonts w:cs="Arial"/>
          <w:color w:val="000000" w:themeColor="text1"/>
          <w:szCs w:val="20"/>
        </w:rPr>
        <w:t xml:space="preserve">republikového významu </w:t>
      </w:r>
      <w:r w:rsidRPr="008B0A35">
        <w:rPr>
          <w:rFonts w:cs="Arial"/>
          <w:color w:val="000000" w:themeColor="text1"/>
          <w:szCs w:val="20"/>
        </w:rPr>
        <w:t>dle PÚR upřesněné v ZÚR</w:t>
      </w:r>
    </w:p>
    <w:p w14:paraId="2D1B3612" w14:textId="44929FA0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 xml:space="preserve">14.3 Specifické oblasti republikového významu </w:t>
      </w:r>
      <w:r w:rsidRPr="00534BF9">
        <w:rPr>
          <w:rFonts w:cs="Arial"/>
          <w:color w:val="000000" w:themeColor="text1"/>
          <w:szCs w:val="20"/>
        </w:rPr>
        <w:t>dle PÚR upřesněné v ZÚR</w:t>
      </w:r>
    </w:p>
    <w:p w14:paraId="07F61ACC" w14:textId="77777777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>14.4 Rozvojové oblasti nadmístního významu vymezené v ZÚR</w:t>
      </w:r>
    </w:p>
    <w:p w14:paraId="076EB7D0" w14:textId="77777777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>14.5 Rozvojové osy nadmístního významu vymezené v ZÚR</w:t>
      </w:r>
    </w:p>
    <w:p w14:paraId="3D8E66C7" w14:textId="77777777" w:rsidR="00FF3CA8" w:rsidRPr="008B0A35" w:rsidRDefault="000D7311">
      <w:pPr>
        <w:suppressAutoHyphens w:val="0"/>
        <w:spacing w:after="0"/>
        <w:ind w:left="72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>14.6 Specifické oblasti nadmístního významu vymezené v ZÚR</w:t>
      </w:r>
    </w:p>
    <w:p w14:paraId="1B09AD52" w14:textId="77777777" w:rsidR="00FF3CA8" w:rsidRPr="008B0A35" w:rsidRDefault="000D7311">
      <w:pPr>
        <w:suppressAutoHyphens w:val="0"/>
        <w:spacing w:after="0"/>
        <w:ind w:left="720"/>
        <w:jc w:val="left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>14.7 Celostátně významné rozvojové plochy, koridory a územní rezervy dle ZÚR, včetně ÚSES (regionální, nadregionální)</w:t>
      </w:r>
    </w:p>
    <w:p w14:paraId="5D4AF223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III.</w:t>
      </w:r>
      <w:r w:rsidRPr="008B0A35">
        <w:rPr>
          <w:rFonts w:cs="Arial"/>
          <w:szCs w:val="20"/>
        </w:rPr>
        <w:tab/>
        <w:t xml:space="preserve">Závěrečný souhrn </w:t>
      </w:r>
    </w:p>
    <w:p w14:paraId="1F381045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IV.</w:t>
      </w:r>
      <w:r w:rsidRPr="008B0A35">
        <w:rPr>
          <w:rFonts w:cs="Arial"/>
          <w:szCs w:val="20"/>
        </w:rPr>
        <w:tab/>
        <w:t>Právní rámec, zákony</w:t>
      </w:r>
    </w:p>
    <w:p w14:paraId="44D4DB97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V.</w:t>
      </w:r>
      <w:r w:rsidRPr="008B0A35">
        <w:rPr>
          <w:rFonts w:cs="Arial"/>
          <w:szCs w:val="20"/>
        </w:rPr>
        <w:tab/>
        <w:t>Použité zdroje</w:t>
      </w:r>
    </w:p>
    <w:p w14:paraId="34F9165C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VI.</w:t>
      </w:r>
      <w:r w:rsidRPr="008B0A35">
        <w:rPr>
          <w:rFonts w:cs="Arial"/>
          <w:szCs w:val="20"/>
        </w:rPr>
        <w:tab/>
        <w:t>Použité zkratky</w:t>
      </w:r>
    </w:p>
    <w:p w14:paraId="52DB8D7B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VII.</w:t>
      </w:r>
      <w:r w:rsidRPr="008B0A35">
        <w:rPr>
          <w:rFonts w:cs="Arial"/>
          <w:szCs w:val="20"/>
        </w:rPr>
        <w:tab/>
        <w:t>Seznam grafických listů kapitoly 14</w:t>
      </w:r>
    </w:p>
    <w:p w14:paraId="4BCF7B27" w14:textId="77777777" w:rsidR="00FF3CA8" w:rsidRPr="008B0A35" w:rsidRDefault="000D7311">
      <w:pPr>
        <w:spacing w:after="0"/>
        <w:rPr>
          <w:rFonts w:cs="Arial"/>
          <w:szCs w:val="20"/>
        </w:rPr>
      </w:pPr>
      <w:r w:rsidRPr="008B0A35">
        <w:rPr>
          <w:rFonts w:cs="Arial"/>
          <w:szCs w:val="20"/>
        </w:rPr>
        <w:t>VIII.</w:t>
      </w:r>
      <w:r w:rsidRPr="008B0A35">
        <w:rPr>
          <w:rFonts w:cs="Arial"/>
          <w:szCs w:val="20"/>
        </w:rPr>
        <w:tab/>
        <w:t>Přílohy</w:t>
      </w:r>
    </w:p>
    <w:p w14:paraId="71B46E57" w14:textId="77777777" w:rsidR="00FF3CA8" w:rsidRPr="008B0A35" w:rsidRDefault="000D7311">
      <w:pPr>
        <w:pStyle w:val="Nadpisek2"/>
        <w:suppressAutoHyphens w:val="0"/>
        <w:spacing w:before="454" w:after="340"/>
      </w:pPr>
      <w:r w:rsidRPr="008B0A35">
        <w:t xml:space="preserve">14. Závazné výstupy PÚR a ZÚR   </w:t>
      </w:r>
    </w:p>
    <w:p w14:paraId="31FA0461" w14:textId="77777777" w:rsidR="00FF3CA8" w:rsidRPr="008B0A35" w:rsidRDefault="000D7311">
      <w:pPr>
        <w:pStyle w:val="nadpisek3"/>
        <w:shd w:val="clear" w:color="auto" w:fill="D9D9D9" w:themeFill="background1" w:themeFillShade="D9"/>
        <w:spacing w:before="454" w:after="340"/>
        <w:jc w:val="center"/>
        <w:rPr>
          <w:color w:val="000099"/>
        </w:rPr>
      </w:pPr>
      <w:r w:rsidRPr="008B0A35">
        <w:rPr>
          <w:color w:val="000099"/>
        </w:rPr>
        <w:t>I. Úvod k tématu</w:t>
      </w:r>
    </w:p>
    <w:p w14:paraId="5F86D1FB" w14:textId="77777777" w:rsidR="00FF3CA8" w:rsidRPr="008B0A35" w:rsidRDefault="000D7311">
      <w:pPr>
        <w:spacing w:before="113" w:after="0"/>
        <w:rPr>
          <w:sz w:val="22"/>
        </w:rPr>
      </w:pPr>
      <w:r w:rsidRPr="008B0A35">
        <w:rPr>
          <w:rFonts w:eastAsiaTheme="majorEastAsia" w:cstheme="majorBidi"/>
          <w:b/>
          <w:bCs/>
          <w:color w:val="000099"/>
          <w:sz w:val="22"/>
        </w:rPr>
        <w:t>Závazné výstupy územního plánování na krajské úrovni</w:t>
      </w:r>
    </w:p>
    <w:p w14:paraId="523274BB" w14:textId="748F04E8" w:rsidR="00FF3CA8" w:rsidRPr="001204DA" w:rsidRDefault="000D7311">
      <w:pPr>
        <w:suppressAutoHyphens w:val="0"/>
        <w:spacing w:before="113" w:after="0"/>
        <w:rPr>
          <w:rFonts w:cs="Arial"/>
          <w:color w:val="000000" w:themeColor="text1"/>
          <w:spacing w:val="-1"/>
          <w:szCs w:val="20"/>
        </w:rPr>
      </w:pPr>
      <w:r w:rsidRPr="00EB386E">
        <w:rPr>
          <w:rFonts w:cs="Arial"/>
          <w:i/>
          <w:iCs/>
          <w:color w:val="000000" w:themeColor="text1"/>
          <w:spacing w:val="-1"/>
          <w:szCs w:val="20"/>
        </w:rPr>
        <w:t>Zásady územního rozvoje</w:t>
      </w:r>
      <w:r w:rsidRPr="001204DA">
        <w:rPr>
          <w:rFonts w:cs="Arial"/>
          <w:color w:val="000000" w:themeColor="text1"/>
          <w:spacing w:val="-1"/>
          <w:szCs w:val="20"/>
        </w:rPr>
        <w:t xml:space="preserve">  (dále též ZÚR) jsou povinným nástrojem územního plánování na úrovni krajů. Pro jejich zpracování je závazná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 xml:space="preserve">Politika </w:t>
      </w:r>
      <w:r w:rsidR="00553FAC" w:rsidRPr="00EB386E">
        <w:rPr>
          <w:rFonts w:cs="Arial"/>
          <w:i/>
          <w:iCs/>
          <w:color w:val="000000" w:themeColor="text1"/>
          <w:spacing w:val="-1"/>
          <w:szCs w:val="20"/>
        </w:rPr>
        <w:t>ú</w:t>
      </w:r>
      <w:r w:rsidR="00FA3F64" w:rsidRPr="00EB386E">
        <w:rPr>
          <w:rFonts w:cs="Arial"/>
          <w:i/>
          <w:iCs/>
          <w:color w:val="000000" w:themeColor="text1"/>
          <w:spacing w:val="-1"/>
          <w:szCs w:val="20"/>
        </w:rPr>
        <w:t xml:space="preserve">zemního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rozvoje ČR</w:t>
      </w:r>
      <w:r w:rsidRPr="001204DA">
        <w:rPr>
          <w:rFonts w:cs="Arial"/>
          <w:color w:val="000000" w:themeColor="text1"/>
          <w:spacing w:val="-1"/>
          <w:szCs w:val="20"/>
        </w:rPr>
        <w:t xml:space="preserve"> (dále též PÚR) a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Územní rozvojový plán</w:t>
      </w:r>
      <w:r w:rsidRPr="001204DA">
        <w:rPr>
          <w:rFonts w:cs="Arial"/>
          <w:color w:val="000000" w:themeColor="text1"/>
          <w:spacing w:val="-1"/>
          <w:szCs w:val="20"/>
        </w:rPr>
        <w:t xml:space="preserve"> (a podkladem jsou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územně analytické podklady</w:t>
      </w:r>
      <w:r w:rsidRPr="001204DA">
        <w:rPr>
          <w:rFonts w:cs="Arial"/>
          <w:color w:val="000000" w:themeColor="text1"/>
          <w:spacing w:val="-1"/>
          <w:szCs w:val="20"/>
        </w:rPr>
        <w:t xml:space="preserve"> (dále též ÚAP). ZÚR jsou závazné pro pořizování a vydávání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územních plánů</w:t>
      </w:r>
      <w:r w:rsidRPr="001204DA">
        <w:rPr>
          <w:rFonts w:cs="Arial"/>
          <w:color w:val="000000" w:themeColor="text1"/>
          <w:spacing w:val="-1"/>
          <w:szCs w:val="20"/>
        </w:rPr>
        <w:t xml:space="preserve">,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regulačních plánů</w:t>
      </w:r>
      <w:r w:rsidRPr="001204DA">
        <w:rPr>
          <w:rFonts w:cs="Arial"/>
          <w:color w:val="000000" w:themeColor="text1"/>
          <w:spacing w:val="-1"/>
          <w:szCs w:val="20"/>
        </w:rPr>
        <w:t xml:space="preserve"> a pro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rozhodování v území</w:t>
      </w:r>
      <w:r w:rsidRPr="001204DA">
        <w:rPr>
          <w:rFonts w:cs="Arial"/>
          <w:color w:val="000000" w:themeColor="text1"/>
          <w:spacing w:val="-1"/>
          <w:szCs w:val="20"/>
        </w:rPr>
        <w:t xml:space="preserve"> (§ 36 odst. 5 stavebního zákona). 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Územně plánovací dokumentace</w:t>
      </w:r>
      <w:r w:rsidRPr="001204DA">
        <w:rPr>
          <w:rFonts w:cs="Arial"/>
          <w:color w:val="000000" w:themeColor="text1"/>
          <w:spacing w:val="-1"/>
          <w:szCs w:val="20"/>
        </w:rPr>
        <w:t xml:space="preserve"> a </w:t>
      </w:r>
      <w:r w:rsidRPr="00EB386E">
        <w:rPr>
          <w:rFonts w:cs="Arial"/>
          <w:i/>
          <w:iCs/>
          <w:color w:val="000000" w:themeColor="text1"/>
          <w:spacing w:val="-1"/>
          <w:szCs w:val="20"/>
        </w:rPr>
        <w:t>územní rozhodnutí</w:t>
      </w:r>
      <w:r w:rsidR="0075654D">
        <w:rPr>
          <w:rFonts w:cs="Arial"/>
          <w:color w:val="000000" w:themeColor="text1"/>
          <w:spacing w:val="-1"/>
          <w:szCs w:val="20"/>
        </w:rPr>
        <w:t xml:space="preserve">, </w:t>
      </w:r>
      <w:r w:rsidRPr="001204DA">
        <w:rPr>
          <w:rFonts w:cs="Arial"/>
          <w:color w:val="000000" w:themeColor="text1"/>
          <w:spacing w:val="-1"/>
          <w:szCs w:val="20"/>
        </w:rPr>
        <w:t>vydaná následně po vydání ZÚR</w:t>
      </w:r>
      <w:r w:rsidR="0075654D">
        <w:rPr>
          <w:rFonts w:cs="Arial"/>
          <w:color w:val="000000" w:themeColor="text1"/>
          <w:spacing w:val="-1"/>
          <w:szCs w:val="20"/>
        </w:rPr>
        <w:t>,</w:t>
      </w:r>
      <w:r w:rsidRPr="001204DA">
        <w:rPr>
          <w:rFonts w:cs="Arial"/>
          <w:color w:val="000000" w:themeColor="text1"/>
          <w:spacing w:val="-1"/>
          <w:szCs w:val="20"/>
        </w:rPr>
        <w:t xml:space="preserve"> nebo jejich aktualizace</w:t>
      </w:r>
      <w:r w:rsidR="0075654D">
        <w:rPr>
          <w:rFonts w:cs="Arial"/>
          <w:color w:val="000000" w:themeColor="text1"/>
          <w:spacing w:val="-1"/>
          <w:szCs w:val="20"/>
        </w:rPr>
        <w:t>,</w:t>
      </w:r>
      <w:r w:rsidRPr="001204DA">
        <w:rPr>
          <w:rFonts w:cs="Arial"/>
          <w:color w:val="000000" w:themeColor="text1"/>
          <w:spacing w:val="-1"/>
          <w:szCs w:val="20"/>
        </w:rPr>
        <w:t xml:space="preserve"> s nimi nesmí být v rozporu. </w:t>
      </w:r>
    </w:p>
    <w:p w14:paraId="74B50F02" w14:textId="77777777" w:rsidR="00FF3CA8" w:rsidRPr="008B0A35" w:rsidRDefault="000D7311">
      <w:pPr>
        <w:suppressAutoHyphens w:val="0"/>
        <w:spacing w:before="113" w:after="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 xml:space="preserve">Závazné výstupy územního plánování ze ZÚR jsou pro účely ÚAP ČR přebírány prostřednictvím podkladu </w:t>
      </w:r>
      <w:r w:rsidRPr="00EB386E">
        <w:rPr>
          <w:rFonts w:cs="Arial"/>
          <w:i/>
          <w:iCs/>
          <w:color w:val="000000" w:themeColor="text1"/>
          <w:szCs w:val="20"/>
        </w:rPr>
        <w:t>Sjednocení vybraných jevů ze zásad územního rozvoje</w:t>
      </w:r>
      <w:r w:rsidRPr="008B0A35">
        <w:rPr>
          <w:rFonts w:cs="Arial"/>
          <w:color w:val="000000" w:themeColor="text1"/>
          <w:szCs w:val="20"/>
        </w:rPr>
        <w:t xml:space="preserve">, který pro MMR zpracovává Hydrosoft Veleslavín, s.r.o. Jedná se o významné výstupy územního plánování ze ZÚR republikového, příp. mezinárodního významu (v případě rozvojových oblastí, rozvojových os a specifických oblastí o výstupy republikového a nadmístního významu). Jde zejména o plochy, koridory a záměry, které byly vymezeny v PÚR a následně upřesněny v ZÚR. Výstupy PÚR jsou pro účely ÚAP ČR přebírány z platného znění tohoto dokumentu. </w:t>
      </w:r>
    </w:p>
    <w:p w14:paraId="18EB7115" w14:textId="4865B59B" w:rsidR="00DD1D8F" w:rsidRPr="008B0A35" w:rsidRDefault="000D7311">
      <w:pPr>
        <w:suppressAutoHyphens w:val="0"/>
        <w:spacing w:before="113" w:after="0"/>
        <w:rPr>
          <w:rFonts w:cs="Arial"/>
          <w:color w:val="000000" w:themeColor="text1"/>
          <w:szCs w:val="20"/>
        </w:rPr>
      </w:pPr>
      <w:r w:rsidRPr="008B0A35">
        <w:rPr>
          <w:rFonts w:cs="Arial"/>
          <w:color w:val="000000" w:themeColor="text1"/>
          <w:szCs w:val="20"/>
        </w:rPr>
        <w:t>Pro účely ÚAP ČR se sledují: rozvojové oblasti a rozvojové osy</w:t>
      </w:r>
      <w:r w:rsidR="008177E8">
        <w:rPr>
          <w:rFonts w:cs="Arial"/>
          <w:color w:val="000000" w:themeColor="text1"/>
          <w:szCs w:val="20"/>
        </w:rPr>
        <w:t>;</w:t>
      </w:r>
      <w:r w:rsidRPr="008B0A35">
        <w:rPr>
          <w:rFonts w:cs="Arial"/>
          <w:color w:val="000000" w:themeColor="text1"/>
          <w:szCs w:val="20"/>
        </w:rPr>
        <w:t xml:space="preserve"> specifické oblasti, koridory a plochy dopravní infrastruktury</w:t>
      </w:r>
      <w:r w:rsidR="008177E8">
        <w:rPr>
          <w:rFonts w:cs="Arial"/>
          <w:color w:val="000000" w:themeColor="text1"/>
          <w:szCs w:val="20"/>
        </w:rPr>
        <w:t>;</w:t>
      </w:r>
      <w:r w:rsidRPr="008B0A35">
        <w:rPr>
          <w:rFonts w:cs="Arial"/>
          <w:color w:val="000000" w:themeColor="text1"/>
          <w:szCs w:val="20"/>
        </w:rPr>
        <w:t xml:space="preserve"> koridory, plochy</w:t>
      </w:r>
      <w:r w:rsidR="008177E8">
        <w:rPr>
          <w:rFonts w:cs="Arial"/>
          <w:color w:val="000000" w:themeColor="text1"/>
          <w:szCs w:val="20"/>
        </w:rPr>
        <w:t xml:space="preserve"> </w:t>
      </w:r>
      <w:r w:rsidRPr="008B0A35">
        <w:rPr>
          <w:rFonts w:cs="Arial"/>
          <w:color w:val="000000" w:themeColor="text1"/>
          <w:szCs w:val="20"/>
        </w:rPr>
        <w:t>a rozvojové záměry technické infrastruktury</w:t>
      </w:r>
      <w:r w:rsidR="00E12965">
        <w:rPr>
          <w:rFonts w:cs="Arial"/>
          <w:color w:val="000000" w:themeColor="text1"/>
          <w:szCs w:val="20"/>
        </w:rPr>
        <w:t>. Tyto jsou</w:t>
      </w:r>
      <w:r w:rsidRPr="008B0A35">
        <w:rPr>
          <w:rFonts w:cs="Arial"/>
          <w:color w:val="000000" w:themeColor="text1"/>
          <w:szCs w:val="20"/>
        </w:rPr>
        <w:t xml:space="preserve"> vymezen</w:t>
      </w:r>
      <w:r w:rsidR="00E12965">
        <w:rPr>
          <w:rFonts w:cs="Arial"/>
          <w:color w:val="000000" w:themeColor="text1"/>
          <w:szCs w:val="20"/>
        </w:rPr>
        <w:t>y</w:t>
      </w:r>
      <w:r w:rsidRPr="008B0A35">
        <w:rPr>
          <w:rFonts w:cs="Arial"/>
          <w:color w:val="000000" w:themeColor="text1"/>
          <w:szCs w:val="20"/>
        </w:rPr>
        <w:t xml:space="preserve"> v PÚR ČR a upř</w:t>
      </w:r>
      <w:r w:rsidR="00EB386E">
        <w:rPr>
          <w:rFonts w:cs="Arial"/>
          <w:color w:val="000000" w:themeColor="text1"/>
          <w:szCs w:val="20"/>
        </w:rPr>
        <w:t>es</w:t>
      </w:r>
      <w:r w:rsidRPr="008B0A35">
        <w:rPr>
          <w:rFonts w:cs="Arial"/>
          <w:color w:val="000000" w:themeColor="text1"/>
          <w:szCs w:val="20"/>
        </w:rPr>
        <w:t>něn</w:t>
      </w:r>
      <w:r w:rsidR="00E12965">
        <w:rPr>
          <w:rFonts w:cs="Arial"/>
          <w:color w:val="000000" w:themeColor="text1"/>
          <w:szCs w:val="20"/>
        </w:rPr>
        <w:t>y</w:t>
      </w:r>
      <w:r w:rsidR="00EB386E">
        <w:rPr>
          <w:rFonts w:cs="Arial"/>
          <w:color w:val="000000" w:themeColor="text1"/>
          <w:szCs w:val="20"/>
        </w:rPr>
        <w:t>,</w:t>
      </w:r>
      <w:r w:rsidRPr="008B0A35">
        <w:rPr>
          <w:rFonts w:cs="Arial"/>
          <w:color w:val="000000" w:themeColor="text1"/>
          <w:szCs w:val="20"/>
        </w:rPr>
        <w:t xml:space="preserve"> resp. vymezen</w:t>
      </w:r>
      <w:r w:rsidR="00E12965">
        <w:rPr>
          <w:rFonts w:cs="Arial"/>
          <w:color w:val="000000" w:themeColor="text1"/>
          <w:szCs w:val="20"/>
        </w:rPr>
        <w:t>y</w:t>
      </w:r>
      <w:r w:rsidRPr="008B0A35">
        <w:rPr>
          <w:rFonts w:cs="Arial"/>
          <w:color w:val="000000" w:themeColor="text1"/>
          <w:szCs w:val="20"/>
        </w:rPr>
        <w:t xml:space="preserve"> v ZÚR. </w:t>
      </w:r>
      <w:r w:rsidR="00F54F4A">
        <w:rPr>
          <w:rFonts w:cs="Arial"/>
          <w:color w:val="000000" w:themeColor="text1"/>
          <w:szCs w:val="20"/>
        </w:rPr>
        <w:t>Dané</w:t>
      </w:r>
      <w:r w:rsidR="00F54F4A" w:rsidRPr="008B0A35">
        <w:rPr>
          <w:rFonts w:cs="Arial"/>
          <w:color w:val="000000" w:themeColor="text1"/>
          <w:szCs w:val="20"/>
        </w:rPr>
        <w:t xml:space="preserve"> </w:t>
      </w:r>
      <w:r w:rsidRPr="008B0A35">
        <w:rPr>
          <w:rFonts w:cs="Arial"/>
          <w:color w:val="000000" w:themeColor="text1"/>
          <w:szCs w:val="20"/>
        </w:rPr>
        <w:t>oblasti, osy, koridory, plochy a záměry jsou předmětem příslušných kapitol ÚAP ČR, kde jsou i grafické listy k těmto tématům.</w:t>
      </w:r>
    </w:p>
    <w:p w14:paraId="67B9BCEF" w14:textId="77777777" w:rsidR="00FF3CA8" w:rsidRPr="008B0A35" w:rsidRDefault="000D7311">
      <w:pPr>
        <w:pStyle w:val="nadpisek3"/>
        <w:shd w:val="clear" w:color="auto" w:fill="D9D9D9" w:themeFill="background1" w:themeFillShade="D9"/>
        <w:spacing w:before="454" w:after="340"/>
        <w:ind w:left="-113"/>
        <w:jc w:val="center"/>
        <w:rPr>
          <w:color w:val="000099"/>
          <w:szCs w:val="24"/>
        </w:rPr>
      </w:pPr>
      <w:r w:rsidRPr="008B0A35">
        <w:rPr>
          <w:color w:val="000099"/>
        </w:rPr>
        <w:t xml:space="preserve">II. Sledované jevy </w:t>
      </w:r>
      <w:r w:rsidRPr="008B0A35">
        <w:rPr>
          <w:color w:val="000099"/>
          <w:szCs w:val="24"/>
        </w:rPr>
        <w:t>ÚAP ČR</w:t>
      </w:r>
    </w:p>
    <w:p w14:paraId="5B91FCE2" w14:textId="77777777" w:rsidR="00FF3CA8" w:rsidRPr="008B0A35" w:rsidRDefault="000D7311" w:rsidP="00F04E3F">
      <w:pPr>
        <w:spacing w:before="340" w:after="114"/>
      </w:pPr>
      <w:r w:rsidRPr="008B0A35">
        <w:rPr>
          <w:rFonts w:eastAsiaTheme="majorEastAsia" w:cstheme="majorBidi"/>
          <w:b/>
          <w:bCs/>
          <w:color w:val="000099"/>
          <w:sz w:val="22"/>
        </w:rPr>
        <w:t>Rozvojové oblasti a rozvojové osy</w:t>
      </w:r>
      <w:bookmarkStart w:id="0" w:name="_Toc384207621"/>
      <w:bookmarkEnd w:id="0"/>
    </w:p>
    <w:p w14:paraId="0A9F3EB3" w14:textId="77777777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szCs w:val="20"/>
        </w:rPr>
        <w:t>Rozvojové oblasti a rozvojové osy jsou vymezovány v územích, v nichž z důvodů soustředění aktivit mezinárodního a republikového významu existují zvýšené požadavky na změny v území.</w:t>
      </w:r>
    </w:p>
    <w:p w14:paraId="1A350F47" w14:textId="77777777" w:rsidR="00FF3CA8" w:rsidRPr="008B0A35" w:rsidRDefault="000D7311" w:rsidP="00735D44">
      <w:pPr>
        <w:suppressAutoHyphens w:val="0"/>
        <w:spacing w:before="113" w:after="480"/>
      </w:pPr>
      <w:r w:rsidRPr="008B0A35">
        <w:rPr>
          <w:rFonts w:cs="Arial"/>
          <w:szCs w:val="20"/>
        </w:rPr>
        <w:t>Rozvojové oblasti a osy jsou v PÚR ČR zobrazeny schematicky.</w:t>
      </w:r>
    </w:p>
    <w:p w14:paraId="0097DDC1" w14:textId="77777777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szCs w:val="20"/>
        </w:rPr>
        <w:t>V rozvojových oblastech a rozvojových osách je nutno vytvářet, udržovat a koordinovat územní připravenost na zvýšené požadavky změn v území a při respektování republikových priorit územního plánování umožňovat odpovídající využívání území a zachování jeho hodnot.</w:t>
      </w:r>
    </w:p>
    <w:p w14:paraId="5D22E91D" w14:textId="3E7A21DE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szCs w:val="20"/>
        </w:rPr>
        <w:t xml:space="preserve">Zvýšené požadavky na změny v území rozvojových oblastí a rozvojových os vyžadují aktivní součinnost všech složek veřejné správy, zvláště pak dotčených orgánů, chránících veřejné zájmy podle zvláštních právních předpisů při řešení úkolů pro územní plánování a při plnění příslušných doporučení. </w:t>
      </w:r>
    </w:p>
    <w:p w14:paraId="1F55D9A0" w14:textId="77777777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szCs w:val="20"/>
        </w:rPr>
        <w:t>Rozvojové oblasti zahrnují obce, ovlivněné rozvojovou dynamikou hlavního centra kraje při případném spolupůsobení vedlejších center.</w:t>
      </w:r>
    </w:p>
    <w:p w14:paraId="3B8A9722" w14:textId="6B99A16D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szCs w:val="20"/>
        </w:rPr>
        <w:t xml:space="preserve">Rozvojové osy lze charakterizovat jako </w:t>
      </w:r>
      <w:r w:rsidRPr="00EB386E">
        <w:rPr>
          <w:rFonts w:cs="Arial"/>
          <w:szCs w:val="20"/>
        </w:rPr>
        <w:t>pásy území zahrnující obce nebo jejich části, v nichž existují, nebo lze reálně očekávat, zvýšené požadavky na změny v území. Vyznačují se výraznou vazbou na existující sídelní strukturu a</w:t>
      </w:r>
      <w:r w:rsidR="001204DA" w:rsidRPr="00EB386E">
        <w:rPr>
          <w:rFonts w:cs="Arial"/>
          <w:szCs w:val="20"/>
        </w:rPr>
        <w:t> </w:t>
      </w:r>
      <w:r w:rsidRPr="00EB386E">
        <w:rPr>
          <w:rFonts w:cs="Arial"/>
          <w:szCs w:val="20"/>
        </w:rPr>
        <w:t>jsou ovlivněny působením rozvojové dynamiky příslušných center osídlení. Propojují rozvojové oblasti, jako centra osídlení nejvyšší kategorie a vyznačují se podobnými vlastnostmi jako rozvojové oblasti, avšak s jejich nižší intenzitou. Dalším znakem rozvojových os je výskyt existující, případně připravované kvalitní a kapacitní dopravní infrastruktury vyššího řádu. Do rozvojových os nejsou zařazovány obce, které jsou již součástí rozvojových oblastí.</w:t>
      </w:r>
    </w:p>
    <w:p w14:paraId="4ED4BC2E" w14:textId="77777777" w:rsidR="00FF3CA8" w:rsidRPr="008B0A35" w:rsidRDefault="000D7311">
      <w:pPr>
        <w:suppressAutoHyphens w:val="0"/>
        <w:spacing w:before="113" w:after="0"/>
      </w:pPr>
      <w:r w:rsidRPr="008B0A35">
        <w:rPr>
          <w:rFonts w:eastAsia="Times New Roman" w:cs="Arial"/>
          <w:color w:val="000000"/>
          <w:szCs w:val="20"/>
          <w:lang w:eastAsia="cs-CZ"/>
        </w:rPr>
        <w:t>Hlavním úkolem pro územní plánování je v rozvojových oblastech a rozvojových osách při respektování republikových priorit územního plánování umožňovat intenzivní využívání území v souvislosti s rozvojem veřejné infrastruktury. Z tohoto důvodu je nutno v rozvojových oblastech a v rozvojových osách vytvářet podmínky pro umístění aktivit mezinárodního a republikového významu s požadavky na změny v území a tím přispívat k zachování charakteru území mimo rozvojové oblasti a rozvojové osy.</w:t>
      </w:r>
    </w:p>
    <w:p w14:paraId="52441FD4" w14:textId="77777777" w:rsidR="00FF3CA8" w:rsidRPr="008B0A35" w:rsidRDefault="000D7311">
      <w:pPr>
        <w:pStyle w:val="nadpisek3"/>
        <w:spacing w:before="340" w:after="227"/>
        <w:rPr>
          <w:color w:val="000099"/>
        </w:rPr>
      </w:pPr>
      <w:r w:rsidRPr="008B0A35">
        <w:rPr>
          <w:color w:val="000099"/>
        </w:rPr>
        <w:t xml:space="preserve">14.1 </w:t>
      </w:r>
      <w:r w:rsidRPr="008B0A35">
        <w:rPr>
          <w:color w:val="000099"/>
        </w:rPr>
        <w:tab/>
        <w:t>Rozvojové oblasti republikového významu</w:t>
      </w:r>
      <w:r w:rsidRPr="001A22FC">
        <w:rPr>
          <w:color w:val="000099"/>
        </w:rPr>
        <w:t xml:space="preserve"> </w:t>
      </w:r>
      <w:r w:rsidRPr="008B0A35">
        <w:rPr>
          <w:color w:val="000099"/>
        </w:rPr>
        <w:t>dle PÚR upřesněné v ZÚR</w:t>
      </w:r>
    </w:p>
    <w:p w14:paraId="1A85F02B" w14:textId="77777777" w:rsidR="00FF3CA8" w:rsidRPr="008B0A35" w:rsidRDefault="000D7311">
      <w:pPr>
        <w:spacing w:before="113" w:after="0"/>
      </w:pPr>
      <w:r w:rsidRPr="008B0A35">
        <w:rPr>
          <w:rFonts w:cs="Arial"/>
          <w:color w:val="000000"/>
          <w:szCs w:val="20"/>
        </w:rPr>
        <w:t>Politika územního rozvoje vymezuje rozvojové oblasti republikového významu, jejichž vymezení je následně upřesněno v zásadách územního rozvoje:</w:t>
      </w:r>
    </w:p>
    <w:p w14:paraId="1F5B6788" w14:textId="77777777" w:rsidR="00FF3CA8" w:rsidRPr="008B0A35" w:rsidRDefault="000D7311">
      <w:pPr>
        <w:keepNext/>
        <w:keepLines/>
        <w:suppressAutoHyphens w:val="0"/>
        <w:spacing w:before="227" w:after="113"/>
        <w:rPr>
          <w:rFonts w:cs="Arial"/>
          <w:b/>
          <w:szCs w:val="20"/>
        </w:rPr>
      </w:pPr>
      <w:r w:rsidRPr="008B0A35">
        <w:rPr>
          <w:rFonts w:cs="Arial"/>
          <w:b/>
          <w:szCs w:val="20"/>
        </w:rPr>
        <w:t xml:space="preserve">Tab. 14.1: Rozvojové oblasti republikového významu vymezené v PÚR </w:t>
      </w:r>
      <w:bookmarkStart w:id="1" w:name="_Toc119995282"/>
      <w:bookmarkStart w:id="2" w:name="_Toc120599521"/>
      <w:bookmarkStart w:id="3" w:name="_Toc133222115"/>
      <w:bookmarkEnd w:id="1"/>
      <w:bookmarkEnd w:id="2"/>
      <w:bookmarkEnd w:id="3"/>
    </w:p>
    <w:tbl>
      <w:tblPr>
        <w:tblStyle w:val="Mkatabulky1"/>
        <w:tblW w:w="10150" w:type="dxa"/>
        <w:tblInd w:w="112" w:type="dxa"/>
        <w:tblLayout w:type="fixed"/>
        <w:tblLook w:val="04A0" w:firstRow="1" w:lastRow="0" w:firstColumn="1" w:lastColumn="0" w:noHBand="0" w:noVBand="1"/>
      </w:tblPr>
      <w:tblGrid>
        <w:gridCol w:w="1638"/>
        <w:gridCol w:w="8512"/>
      </w:tblGrid>
      <w:tr w:rsidR="00FF3CA8" w:rsidRPr="008B0A35" w14:paraId="54AE939B" w14:textId="77777777">
        <w:trPr>
          <w:trHeight w:val="397"/>
        </w:trPr>
        <w:tc>
          <w:tcPr>
            <w:tcW w:w="10149" w:type="dxa"/>
            <w:gridSpan w:val="2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000099"/>
            </w:tcBorders>
            <w:shd w:val="clear" w:color="auto" w:fill="000099"/>
            <w:vAlign w:val="center"/>
          </w:tcPr>
          <w:p w14:paraId="109F91F1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8B0A35">
              <w:rPr>
                <w:rFonts w:eastAsia="Times New Roman" w:cs="Arial"/>
                <w:b/>
                <w:iCs/>
                <w:color w:val="FFFFFF" w:themeColor="background1"/>
                <w:sz w:val="18"/>
                <w:szCs w:val="18"/>
                <w:lang w:eastAsia="cs-CZ"/>
              </w:rPr>
              <w:t xml:space="preserve">Označení </w:t>
            </w:r>
            <w:r w:rsidRPr="008B0A35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rozvojové oblasti</w:t>
            </w:r>
          </w:p>
        </w:tc>
      </w:tr>
      <w:tr w:rsidR="00FF3CA8" w:rsidRPr="008B0A35" w14:paraId="39AA6422" w14:textId="77777777">
        <w:trPr>
          <w:trHeight w:val="283"/>
        </w:trPr>
        <w:tc>
          <w:tcPr>
            <w:tcW w:w="1638" w:type="dxa"/>
            <w:tcBorders>
              <w:top w:val="single" w:sz="4" w:space="0" w:color="000099"/>
            </w:tcBorders>
            <w:vAlign w:val="center"/>
          </w:tcPr>
          <w:p w14:paraId="48617EF8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OB1</w:t>
            </w:r>
          </w:p>
        </w:tc>
        <w:tc>
          <w:tcPr>
            <w:tcW w:w="8511" w:type="dxa"/>
            <w:tcBorders>
              <w:top w:val="single" w:sz="4" w:space="0" w:color="000099"/>
            </w:tcBorders>
            <w:vAlign w:val="center"/>
          </w:tcPr>
          <w:p w14:paraId="5F50CBE1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cs="Arial"/>
                <w:bCs/>
                <w:sz w:val="18"/>
                <w:szCs w:val="18"/>
              </w:rPr>
            </w:pPr>
            <w:r w:rsidRPr="008B0A35">
              <w:rPr>
                <w:rFonts w:cs="Arial"/>
                <w:bCs/>
                <w:sz w:val="18"/>
                <w:szCs w:val="18"/>
              </w:rPr>
              <w:t>Metropolitní rozvojová oblast Praha</w:t>
            </w:r>
          </w:p>
        </w:tc>
      </w:tr>
      <w:tr w:rsidR="00FF3CA8" w:rsidRPr="008B0A35" w14:paraId="3C3E336A" w14:textId="77777777">
        <w:trPr>
          <w:trHeight w:val="283"/>
        </w:trPr>
        <w:tc>
          <w:tcPr>
            <w:tcW w:w="1638" w:type="dxa"/>
            <w:vAlign w:val="center"/>
          </w:tcPr>
          <w:p w14:paraId="58D04DAF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OB2</w:t>
            </w:r>
          </w:p>
        </w:tc>
        <w:tc>
          <w:tcPr>
            <w:tcW w:w="8511" w:type="dxa"/>
            <w:vAlign w:val="center"/>
          </w:tcPr>
          <w:p w14:paraId="4A410A8A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Metropolitní rozvojová oblast Ostrava</w:t>
            </w:r>
          </w:p>
        </w:tc>
      </w:tr>
      <w:tr w:rsidR="00FF3CA8" w:rsidRPr="008B0A35" w14:paraId="77F90F02" w14:textId="77777777">
        <w:trPr>
          <w:trHeight w:val="283"/>
        </w:trPr>
        <w:tc>
          <w:tcPr>
            <w:tcW w:w="1638" w:type="dxa"/>
            <w:vAlign w:val="center"/>
          </w:tcPr>
          <w:p w14:paraId="394736D6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OB3</w:t>
            </w:r>
          </w:p>
        </w:tc>
        <w:tc>
          <w:tcPr>
            <w:tcW w:w="8511" w:type="dxa"/>
            <w:vAlign w:val="center"/>
          </w:tcPr>
          <w:p w14:paraId="7C0F7499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Metropolitní rozvojová oblast Brno</w:t>
            </w:r>
          </w:p>
        </w:tc>
      </w:tr>
      <w:tr w:rsidR="00FF3CA8" w:rsidRPr="008B0A35" w14:paraId="3B22B8AD" w14:textId="77777777">
        <w:trPr>
          <w:trHeight w:val="283"/>
        </w:trPr>
        <w:tc>
          <w:tcPr>
            <w:tcW w:w="1638" w:type="dxa"/>
            <w:vAlign w:val="center"/>
          </w:tcPr>
          <w:p w14:paraId="28C1C2A1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OB4</w:t>
            </w:r>
          </w:p>
        </w:tc>
        <w:tc>
          <w:tcPr>
            <w:tcW w:w="8511" w:type="dxa"/>
            <w:vAlign w:val="center"/>
          </w:tcPr>
          <w:p w14:paraId="2C545A8E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Hradec Králové/Pardubice</w:t>
            </w:r>
          </w:p>
        </w:tc>
      </w:tr>
      <w:tr w:rsidR="00FF3CA8" w:rsidRPr="008B0A35" w14:paraId="7873AC57" w14:textId="77777777">
        <w:trPr>
          <w:trHeight w:val="283"/>
        </w:trPr>
        <w:tc>
          <w:tcPr>
            <w:tcW w:w="1638" w:type="dxa"/>
            <w:vAlign w:val="center"/>
          </w:tcPr>
          <w:p w14:paraId="3E139C70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OB5</w:t>
            </w:r>
          </w:p>
        </w:tc>
        <w:tc>
          <w:tcPr>
            <w:tcW w:w="8511" w:type="dxa"/>
            <w:vAlign w:val="center"/>
          </w:tcPr>
          <w:p w14:paraId="11655B7E" w14:textId="77777777" w:rsidR="00FF3CA8" w:rsidRPr="008B0A35" w:rsidRDefault="000D7311">
            <w:pPr>
              <w:widowControl w:val="0"/>
              <w:tabs>
                <w:tab w:val="left" w:pos="680"/>
              </w:tabs>
              <w:suppressAutoHyphens w:val="0"/>
              <w:spacing w:after="0"/>
              <w:jc w:val="left"/>
              <w:rPr>
                <w:rFonts w:eastAsia="Times New Roman" w:cs="Arial"/>
                <w:b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Plzeň</w:t>
            </w:r>
          </w:p>
        </w:tc>
      </w:tr>
      <w:tr w:rsidR="00FF3CA8" w:rsidRPr="008B0A35" w14:paraId="4DB9067D" w14:textId="77777777">
        <w:trPr>
          <w:trHeight w:val="283"/>
        </w:trPr>
        <w:tc>
          <w:tcPr>
            <w:tcW w:w="1638" w:type="dxa"/>
            <w:vAlign w:val="center"/>
          </w:tcPr>
          <w:p w14:paraId="08A76EF5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OB6</w:t>
            </w:r>
          </w:p>
        </w:tc>
        <w:tc>
          <w:tcPr>
            <w:tcW w:w="8511" w:type="dxa"/>
            <w:vAlign w:val="center"/>
          </w:tcPr>
          <w:p w14:paraId="1A586F78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Ústí nad Labem</w:t>
            </w:r>
          </w:p>
        </w:tc>
      </w:tr>
      <w:tr w:rsidR="00FF3CA8" w:rsidRPr="008B0A35" w14:paraId="33D4D1EA" w14:textId="77777777">
        <w:trPr>
          <w:trHeight w:val="283"/>
        </w:trPr>
        <w:tc>
          <w:tcPr>
            <w:tcW w:w="1638" w:type="dxa"/>
            <w:vAlign w:val="center"/>
          </w:tcPr>
          <w:p w14:paraId="4E3AD695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OB7</w:t>
            </w:r>
          </w:p>
        </w:tc>
        <w:tc>
          <w:tcPr>
            <w:tcW w:w="8511" w:type="dxa"/>
            <w:vAlign w:val="center"/>
          </w:tcPr>
          <w:p w14:paraId="4246DE8E" w14:textId="77777777" w:rsidR="00FF3CA8" w:rsidRPr="008B0A35" w:rsidRDefault="000D7311">
            <w:pPr>
              <w:widowControl w:val="0"/>
              <w:tabs>
                <w:tab w:val="left" w:pos="680"/>
              </w:tabs>
              <w:suppressAutoHyphens w:val="0"/>
              <w:spacing w:after="0"/>
              <w:jc w:val="left"/>
              <w:rPr>
                <w:rFonts w:eastAsia="Times New Roman" w:cs="Arial"/>
                <w:b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Liberec</w:t>
            </w:r>
          </w:p>
        </w:tc>
      </w:tr>
      <w:tr w:rsidR="00FF3CA8" w:rsidRPr="008B0A35" w14:paraId="5DB5251D" w14:textId="77777777">
        <w:trPr>
          <w:trHeight w:val="283"/>
        </w:trPr>
        <w:tc>
          <w:tcPr>
            <w:tcW w:w="1638" w:type="dxa"/>
            <w:vAlign w:val="center"/>
          </w:tcPr>
          <w:p w14:paraId="0685E02B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OB8</w:t>
            </w:r>
          </w:p>
        </w:tc>
        <w:tc>
          <w:tcPr>
            <w:tcW w:w="8511" w:type="dxa"/>
            <w:vAlign w:val="center"/>
          </w:tcPr>
          <w:p w14:paraId="58F58326" w14:textId="77777777" w:rsidR="00FF3CA8" w:rsidRPr="008B0A35" w:rsidRDefault="000D7311">
            <w:pPr>
              <w:widowControl w:val="0"/>
              <w:tabs>
                <w:tab w:val="left" w:pos="680"/>
              </w:tabs>
              <w:suppressAutoHyphens w:val="0"/>
              <w:spacing w:after="0"/>
              <w:jc w:val="left"/>
              <w:rPr>
                <w:rFonts w:eastAsia="Times New Roman" w:cs="Arial"/>
                <w:b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Olomouc</w:t>
            </w:r>
          </w:p>
        </w:tc>
      </w:tr>
      <w:tr w:rsidR="00FF3CA8" w:rsidRPr="008B0A35" w14:paraId="649D2783" w14:textId="77777777">
        <w:trPr>
          <w:trHeight w:val="283"/>
        </w:trPr>
        <w:tc>
          <w:tcPr>
            <w:tcW w:w="1638" w:type="dxa"/>
            <w:vAlign w:val="center"/>
          </w:tcPr>
          <w:p w14:paraId="095DC159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OB9</w:t>
            </w:r>
          </w:p>
        </w:tc>
        <w:tc>
          <w:tcPr>
            <w:tcW w:w="8511" w:type="dxa"/>
            <w:vAlign w:val="center"/>
          </w:tcPr>
          <w:p w14:paraId="6CCF37D0" w14:textId="77777777" w:rsidR="00FF3CA8" w:rsidRPr="008B0A35" w:rsidRDefault="000D7311">
            <w:pPr>
              <w:widowControl w:val="0"/>
              <w:tabs>
                <w:tab w:val="left" w:pos="680"/>
              </w:tabs>
              <w:suppressAutoHyphens w:val="0"/>
              <w:spacing w:after="0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Zlín</w:t>
            </w:r>
          </w:p>
        </w:tc>
      </w:tr>
      <w:tr w:rsidR="00FF3CA8" w:rsidRPr="008B0A35" w14:paraId="4655A959" w14:textId="77777777">
        <w:trPr>
          <w:trHeight w:val="283"/>
        </w:trPr>
        <w:tc>
          <w:tcPr>
            <w:tcW w:w="1638" w:type="dxa"/>
            <w:vAlign w:val="center"/>
          </w:tcPr>
          <w:p w14:paraId="7C01BDA7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OB10</w:t>
            </w:r>
          </w:p>
        </w:tc>
        <w:tc>
          <w:tcPr>
            <w:tcW w:w="8511" w:type="dxa"/>
            <w:vAlign w:val="center"/>
          </w:tcPr>
          <w:p w14:paraId="69D5B38A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České Budějovice</w:t>
            </w:r>
          </w:p>
        </w:tc>
      </w:tr>
      <w:tr w:rsidR="00FF3CA8" w:rsidRPr="008B0A35" w14:paraId="19B4D5D7" w14:textId="77777777">
        <w:trPr>
          <w:trHeight w:val="283"/>
        </w:trPr>
        <w:tc>
          <w:tcPr>
            <w:tcW w:w="1638" w:type="dxa"/>
            <w:vAlign w:val="center"/>
          </w:tcPr>
          <w:p w14:paraId="5F4E8A9B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OB11</w:t>
            </w:r>
          </w:p>
        </w:tc>
        <w:tc>
          <w:tcPr>
            <w:tcW w:w="8511" w:type="dxa"/>
            <w:vAlign w:val="center"/>
          </w:tcPr>
          <w:p w14:paraId="63283CE4" w14:textId="77777777" w:rsidR="00FF3CA8" w:rsidRPr="008B0A35" w:rsidRDefault="000D7311">
            <w:pPr>
              <w:widowControl w:val="0"/>
              <w:suppressAutoHyphens w:val="0"/>
              <w:spacing w:after="0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Jihlava</w:t>
            </w:r>
          </w:p>
        </w:tc>
      </w:tr>
      <w:tr w:rsidR="00FF3CA8" w:rsidRPr="008B0A35" w14:paraId="7E3D84ED" w14:textId="77777777">
        <w:trPr>
          <w:trHeight w:val="283"/>
        </w:trPr>
        <w:tc>
          <w:tcPr>
            <w:tcW w:w="1638" w:type="dxa"/>
            <w:vAlign w:val="center"/>
          </w:tcPr>
          <w:p w14:paraId="497C58DF" w14:textId="77777777" w:rsidR="00FF3CA8" w:rsidRPr="008B0A35" w:rsidRDefault="000D7311">
            <w:pPr>
              <w:widowControl w:val="0"/>
              <w:suppressAutoHyphens w:val="0"/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OB12</w:t>
            </w:r>
          </w:p>
        </w:tc>
        <w:tc>
          <w:tcPr>
            <w:tcW w:w="8511" w:type="dxa"/>
            <w:vAlign w:val="center"/>
          </w:tcPr>
          <w:p w14:paraId="426A2C97" w14:textId="77777777" w:rsidR="00FF3CA8" w:rsidRPr="008B0A35" w:rsidRDefault="000D7311">
            <w:pPr>
              <w:widowControl w:val="0"/>
              <w:tabs>
                <w:tab w:val="left" w:pos="680"/>
              </w:tabs>
              <w:suppressAutoHyphens w:val="0"/>
              <w:spacing w:after="0"/>
              <w:jc w:val="left"/>
              <w:rPr>
                <w:rFonts w:eastAsia="Times New Roman" w:cs="Arial"/>
                <w:b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oblast Karlovy Vary</w:t>
            </w:r>
          </w:p>
        </w:tc>
      </w:tr>
    </w:tbl>
    <w:p w14:paraId="192183C4" w14:textId="77777777" w:rsidR="00FF3CA8" w:rsidRPr="008B0A35" w:rsidRDefault="000D7311">
      <w:pPr>
        <w:suppressAutoHyphens w:val="0"/>
        <w:spacing w:before="113" w:after="0"/>
      </w:pPr>
      <w:r w:rsidRPr="008B0A35">
        <w:rPr>
          <w:i/>
        </w:rPr>
        <w:t xml:space="preserve">Zpracoval: Ústav územního rozvoje, 2022. </w:t>
      </w:r>
    </w:p>
    <w:p w14:paraId="35C8BFDC" w14:textId="02C88CBA" w:rsidR="00FF3CA8" w:rsidRPr="008B0A35" w:rsidRDefault="000D7311">
      <w:pPr>
        <w:suppressAutoHyphens w:val="0"/>
        <w:spacing w:before="113" w:after="0"/>
      </w:pPr>
      <w:r w:rsidRPr="008B0A35">
        <w:rPr>
          <w:rFonts w:eastAsia="Times New Roman" w:cs="Arial"/>
          <w:szCs w:val="20"/>
          <w:lang w:eastAsia="cs-CZ"/>
        </w:rPr>
        <w:t>Kraje v zásadách územního rozvoje dle potřeby upřesní vymezení rozvojových oblastí v rozlišení podle území jednotlivých obcí, popřípadě jednotlivých katastrálních území, při respektování důvodů</w:t>
      </w:r>
      <w:r w:rsidR="00100DF3" w:rsidRPr="00100DF3">
        <w:rPr>
          <w:rFonts w:eastAsia="Times New Roman" w:cs="Arial"/>
          <w:szCs w:val="20"/>
          <w:lang w:eastAsia="cs-CZ"/>
        </w:rPr>
        <w:t xml:space="preserve"> </w:t>
      </w:r>
      <w:r w:rsidRPr="008B0A35">
        <w:rPr>
          <w:rFonts w:eastAsia="Times New Roman" w:cs="Arial"/>
          <w:szCs w:val="20"/>
          <w:lang w:eastAsia="cs-CZ"/>
        </w:rPr>
        <w:t xml:space="preserve">vymezení dotyčných rozvojových oblastí a rozvojových os. V případě rozvojových os a oblastí je možné tyto osy nebo oblasti vymezit i pouze </w:t>
      </w:r>
      <w:r w:rsidRPr="008B0A35">
        <w:rPr>
          <w:rFonts w:cs="Arial"/>
          <w:color w:val="000000" w:themeColor="text1"/>
          <w:szCs w:val="20"/>
        </w:rPr>
        <w:t>v části katastrálního území. Zásady územního rozvoje jsou přístupné například z internetových stránek Informačního webu územního plánování ÚÚR na</w:t>
      </w:r>
      <w:r w:rsidRPr="008B0A35">
        <w:rPr>
          <w:rFonts w:eastAsia="Times New Roman" w:cs="Arial"/>
          <w:szCs w:val="20"/>
          <w:lang w:eastAsia="cs-CZ"/>
        </w:rPr>
        <w:t xml:space="preserve"> webové adrese: </w:t>
      </w:r>
      <w:hyperlink r:id="rId8">
        <w:r w:rsidRPr="008B0A35">
          <w:rPr>
            <w:rStyle w:val="Internetovodkaz"/>
            <w:rFonts w:eastAsia="Times New Roman" w:cs="Arial"/>
            <w:color w:val="auto"/>
            <w:szCs w:val="20"/>
            <w:u w:val="none"/>
            <w:lang w:eastAsia="cs-CZ"/>
          </w:rPr>
          <w:t>http://portal.uur.cz/</w:t>
        </w:r>
      </w:hyperlink>
      <w:r w:rsidRPr="008B0A35">
        <w:rPr>
          <w:rFonts w:eastAsia="Times New Roman" w:cs="Arial"/>
          <w:szCs w:val="20"/>
          <w:lang w:eastAsia="cs-CZ"/>
        </w:rPr>
        <w:t>.</w:t>
      </w:r>
    </w:p>
    <w:p w14:paraId="7175239A" w14:textId="77777777" w:rsidR="00FF3CA8" w:rsidRPr="008B0A35" w:rsidRDefault="000D7311" w:rsidP="00484D9D">
      <w:pPr>
        <w:pStyle w:val="nadpisek3"/>
        <w:pageBreakBefore/>
        <w:spacing w:before="340" w:after="227"/>
      </w:pPr>
      <w:r w:rsidRPr="008B0A35">
        <w:rPr>
          <w:color w:val="000099"/>
        </w:rPr>
        <w:lastRenderedPageBreak/>
        <w:t xml:space="preserve">14.2 </w:t>
      </w:r>
      <w:r w:rsidRPr="008B0A35">
        <w:rPr>
          <w:color w:val="000099"/>
        </w:rPr>
        <w:tab/>
        <w:t>Rozvojové osy republikového významu dle PÚR upřesněné v ZÚR</w:t>
      </w:r>
    </w:p>
    <w:p w14:paraId="5196FF79" w14:textId="77777777" w:rsidR="00484D9D" w:rsidRDefault="000D7311" w:rsidP="00484D9D">
      <w:pPr>
        <w:spacing w:before="113" w:after="0"/>
        <w:rPr>
          <w:rFonts w:cs="Arial"/>
          <w:color w:val="000000"/>
          <w:szCs w:val="20"/>
        </w:rPr>
      </w:pPr>
      <w:r w:rsidRPr="008B0A35">
        <w:rPr>
          <w:rFonts w:cs="Arial"/>
          <w:color w:val="000000"/>
          <w:szCs w:val="20"/>
        </w:rPr>
        <w:t>Politika územního rozvoje vymezuje rozvojové osy republikového významu, jejichž vymezení je následně upřesněno v zásadách územního rozvoje:</w:t>
      </w:r>
    </w:p>
    <w:p w14:paraId="7A4F3817" w14:textId="04231987" w:rsidR="00FF3CA8" w:rsidRPr="008B0A35" w:rsidRDefault="000D7311" w:rsidP="00484D9D">
      <w:pPr>
        <w:spacing w:before="240" w:after="0"/>
        <w:rPr>
          <w:rFonts w:cs="Arial"/>
          <w:b/>
          <w:szCs w:val="20"/>
        </w:rPr>
      </w:pPr>
      <w:r w:rsidRPr="008B0A35">
        <w:rPr>
          <w:rFonts w:cs="Arial"/>
          <w:b/>
          <w:szCs w:val="20"/>
        </w:rPr>
        <w:t xml:space="preserve">Tab. 14.2: Rozvojové osy republikového významu vymezené v PÚR </w:t>
      </w:r>
    </w:p>
    <w:tbl>
      <w:tblPr>
        <w:tblStyle w:val="Mkatabulky1"/>
        <w:tblW w:w="10150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30"/>
        <w:gridCol w:w="3695"/>
        <w:gridCol w:w="5725"/>
      </w:tblGrid>
      <w:tr w:rsidR="00FF3CA8" w:rsidRPr="008B0A35" w14:paraId="18F9782A" w14:textId="77777777">
        <w:trPr>
          <w:trHeight w:val="419"/>
          <w:tblHeader/>
        </w:trPr>
        <w:tc>
          <w:tcPr>
            <w:tcW w:w="4425" w:type="dxa"/>
            <w:gridSpan w:val="2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FFFFFF"/>
            </w:tcBorders>
            <w:shd w:val="clear" w:color="auto" w:fill="000099"/>
            <w:vAlign w:val="center"/>
          </w:tcPr>
          <w:p w14:paraId="4C27BCD8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color w:val="FFFFFF"/>
              </w:rPr>
            </w:pPr>
            <w:r w:rsidRPr="008B0A35">
              <w:rPr>
                <w:rFonts w:eastAsia="Times New Roman" w:cs="Arial"/>
                <w:b/>
                <w:iCs/>
                <w:color w:val="FFFFFF" w:themeColor="background1"/>
                <w:sz w:val="18"/>
                <w:szCs w:val="18"/>
                <w:lang w:eastAsia="cs-CZ"/>
              </w:rPr>
              <w:t xml:space="preserve">Označení </w:t>
            </w:r>
            <w:r w:rsidRPr="008B0A35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rozvojové osy</w:t>
            </w:r>
          </w:p>
        </w:tc>
        <w:tc>
          <w:tcPr>
            <w:tcW w:w="5725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000099"/>
            </w:tcBorders>
            <w:shd w:val="clear" w:color="auto" w:fill="000099"/>
            <w:vAlign w:val="center"/>
          </w:tcPr>
          <w:p w14:paraId="2B84994A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color w:val="FFFFFF"/>
              </w:rPr>
            </w:pPr>
            <w:r w:rsidRPr="008B0A35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Vymezení rozvojové osy</w:t>
            </w:r>
          </w:p>
        </w:tc>
      </w:tr>
      <w:tr w:rsidR="00FF3CA8" w:rsidRPr="008B0A35" w14:paraId="24BFA3F2" w14:textId="77777777">
        <w:trPr>
          <w:trHeight w:val="283"/>
        </w:trPr>
        <w:tc>
          <w:tcPr>
            <w:tcW w:w="730" w:type="dxa"/>
            <w:tcBorders>
              <w:top w:val="single" w:sz="4" w:space="0" w:color="000099"/>
            </w:tcBorders>
            <w:vAlign w:val="center"/>
          </w:tcPr>
          <w:p w14:paraId="3583934A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OS1</w:t>
            </w:r>
          </w:p>
        </w:tc>
        <w:tc>
          <w:tcPr>
            <w:tcW w:w="3695" w:type="dxa"/>
            <w:tcBorders>
              <w:top w:val="single" w:sz="4" w:space="0" w:color="000099"/>
            </w:tcBorders>
            <w:vAlign w:val="center"/>
          </w:tcPr>
          <w:p w14:paraId="13B641EC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Praha–Plzeň–hranice ČR/Německo (–Nürnberg)</w:t>
            </w:r>
          </w:p>
        </w:tc>
        <w:tc>
          <w:tcPr>
            <w:tcW w:w="5725" w:type="dxa"/>
            <w:tcBorders>
              <w:top w:val="single" w:sz="4" w:space="0" w:color="000099"/>
            </w:tcBorders>
          </w:tcPr>
          <w:p w14:paraId="520BAB83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významnou dopravní cestu, tj. dálnici D5 a část III. TŽK v úseku Praha–Stříbro.</w:t>
            </w:r>
          </w:p>
        </w:tc>
      </w:tr>
      <w:tr w:rsidR="00FF3CA8" w:rsidRPr="008B0A35" w14:paraId="566E7C5D" w14:textId="77777777">
        <w:trPr>
          <w:trHeight w:val="283"/>
        </w:trPr>
        <w:tc>
          <w:tcPr>
            <w:tcW w:w="730" w:type="dxa"/>
            <w:vAlign w:val="center"/>
          </w:tcPr>
          <w:p w14:paraId="67014F35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OS2</w:t>
            </w:r>
          </w:p>
        </w:tc>
        <w:tc>
          <w:tcPr>
            <w:tcW w:w="3695" w:type="dxa"/>
            <w:vAlign w:val="center"/>
          </w:tcPr>
          <w:p w14:paraId="38488B5B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Praha–Ústí nad Labem–hranice ČR/Německo (–Dresden)</w:t>
            </w:r>
          </w:p>
        </w:tc>
        <w:tc>
          <w:tcPr>
            <w:tcW w:w="5725" w:type="dxa"/>
          </w:tcPr>
          <w:p w14:paraId="5216F980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významnou dopravní cestu, tj. dálnici D8 a I. a IV. TŽK.</w:t>
            </w:r>
          </w:p>
        </w:tc>
      </w:tr>
      <w:tr w:rsidR="00FF3CA8" w:rsidRPr="008B0A35" w14:paraId="4D2BB3EE" w14:textId="77777777">
        <w:trPr>
          <w:trHeight w:val="283"/>
        </w:trPr>
        <w:tc>
          <w:tcPr>
            <w:tcW w:w="730" w:type="dxa"/>
            <w:vAlign w:val="center"/>
          </w:tcPr>
          <w:p w14:paraId="67A5E5F5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OS3</w:t>
            </w:r>
          </w:p>
        </w:tc>
        <w:tc>
          <w:tcPr>
            <w:tcW w:w="3695" w:type="dxa"/>
            <w:vAlign w:val="center"/>
          </w:tcPr>
          <w:p w14:paraId="6273D09A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pacing w:val="-1"/>
                <w:sz w:val="18"/>
                <w:szCs w:val="18"/>
                <w:lang w:eastAsia="cs-CZ"/>
              </w:rPr>
              <w:t>Praha–Liberec–hranice ČR/Německo, Polsko (–Görlitz/Zgorzelec)</w:t>
            </w:r>
          </w:p>
        </w:tc>
        <w:tc>
          <w:tcPr>
            <w:tcW w:w="5725" w:type="dxa"/>
          </w:tcPr>
          <w:p w14:paraId="101693AB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pacing w:val="-1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dálnice D10 a silnice I/35.</w:t>
            </w:r>
          </w:p>
        </w:tc>
      </w:tr>
      <w:tr w:rsidR="00FF3CA8" w:rsidRPr="008B0A35" w14:paraId="62D054C4" w14:textId="77777777">
        <w:trPr>
          <w:trHeight w:val="283"/>
        </w:trPr>
        <w:tc>
          <w:tcPr>
            <w:tcW w:w="730" w:type="dxa"/>
            <w:vAlign w:val="center"/>
          </w:tcPr>
          <w:p w14:paraId="20A27CC4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OS4</w:t>
            </w:r>
          </w:p>
        </w:tc>
        <w:tc>
          <w:tcPr>
            <w:tcW w:w="3695" w:type="dxa"/>
            <w:vAlign w:val="center"/>
          </w:tcPr>
          <w:p w14:paraId="149933BD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Praha–Hradec Králové/Pardubice (podél dálnice D11)–Trutnov–hranice ČR/Polsko (–Wroclaw). Další větev rozvojové osy je Praha–Kolín–Chvaletice–Pardubice (podél železničního spojení Praha–Kolín–Pardubice).</w:t>
            </w:r>
          </w:p>
        </w:tc>
        <w:tc>
          <w:tcPr>
            <w:tcW w:w="5725" w:type="dxa"/>
          </w:tcPr>
          <w:p w14:paraId="5462868B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dálnici D11 a jejím připravovaným pokračováním do Polska a I. a III. TŽK v úseku Praha–Pardubice.</w:t>
            </w:r>
          </w:p>
        </w:tc>
      </w:tr>
      <w:tr w:rsidR="00FF3CA8" w:rsidRPr="008B0A35" w14:paraId="49E152A4" w14:textId="77777777">
        <w:trPr>
          <w:trHeight w:val="283"/>
        </w:trPr>
        <w:tc>
          <w:tcPr>
            <w:tcW w:w="730" w:type="dxa"/>
            <w:vAlign w:val="center"/>
          </w:tcPr>
          <w:p w14:paraId="6D50CDF9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OS5</w:t>
            </w:r>
          </w:p>
        </w:tc>
        <w:tc>
          <w:tcPr>
            <w:tcW w:w="3695" w:type="dxa"/>
            <w:vAlign w:val="center"/>
          </w:tcPr>
          <w:p w14:paraId="4FFAC371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Praha–(Kolín)–Jihlava–Brno</w:t>
            </w:r>
          </w:p>
        </w:tc>
        <w:tc>
          <w:tcPr>
            <w:tcW w:w="5725" w:type="dxa"/>
          </w:tcPr>
          <w:p w14:paraId="622894CC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dálnici D1, silnice I/38 a I/12, ovlivněné rozvojovými záměry vysokorychlostní tratě.</w:t>
            </w:r>
          </w:p>
        </w:tc>
      </w:tr>
      <w:tr w:rsidR="00FF3CA8" w:rsidRPr="008B0A35" w14:paraId="483CBCEE" w14:textId="77777777">
        <w:trPr>
          <w:trHeight w:val="283"/>
        </w:trPr>
        <w:tc>
          <w:tcPr>
            <w:tcW w:w="730" w:type="dxa"/>
            <w:vAlign w:val="center"/>
          </w:tcPr>
          <w:p w14:paraId="642C3312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OS5a</w:t>
            </w:r>
          </w:p>
        </w:tc>
        <w:tc>
          <w:tcPr>
            <w:tcW w:w="3695" w:type="dxa"/>
            <w:vAlign w:val="center"/>
          </w:tcPr>
          <w:p w14:paraId="0EB01D0C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Praha–Jihlava</w:t>
            </w:r>
          </w:p>
        </w:tc>
        <w:tc>
          <w:tcPr>
            <w:tcW w:w="5725" w:type="dxa"/>
          </w:tcPr>
          <w:p w14:paraId="1557113B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 s výraznou vazbou na významnou dopravní cestu, tj. dálnici D1 v úseku Praha–Jihlava.</w:t>
            </w:r>
          </w:p>
        </w:tc>
      </w:tr>
      <w:tr w:rsidR="00FF3CA8" w:rsidRPr="008B0A35" w14:paraId="0D9D90A6" w14:textId="77777777">
        <w:trPr>
          <w:trHeight w:val="283"/>
        </w:trPr>
        <w:tc>
          <w:tcPr>
            <w:tcW w:w="730" w:type="dxa"/>
            <w:vAlign w:val="center"/>
          </w:tcPr>
          <w:p w14:paraId="5D28CEA6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OS6</w:t>
            </w:r>
          </w:p>
        </w:tc>
        <w:tc>
          <w:tcPr>
            <w:tcW w:w="3695" w:type="dxa"/>
            <w:vAlign w:val="center"/>
          </w:tcPr>
          <w:p w14:paraId="018CAE7E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Praha–Benešov–Tábor–České Budějovice–hranice ČR/Rakousko (–Linz)</w:t>
            </w:r>
          </w:p>
        </w:tc>
        <w:tc>
          <w:tcPr>
            <w:tcW w:w="5725" w:type="dxa"/>
          </w:tcPr>
          <w:p w14:paraId="0D0ED8BD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dálnici D3, silnici I/3 a IV. TŽK.</w:t>
            </w:r>
          </w:p>
        </w:tc>
      </w:tr>
      <w:tr w:rsidR="00FF3CA8" w:rsidRPr="008B0A35" w14:paraId="58FBB18C" w14:textId="77777777">
        <w:trPr>
          <w:trHeight w:val="283"/>
        </w:trPr>
        <w:tc>
          <w:tcPr>
            <w:tcW w:w="730" w:type="dxa"/>
            <w:vAlign w:val="center"/>
          </w:tcPr>
          <w:p w14:paraId="70C2E1F1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OS7</w:t>
            </w:r>
          </w:p>
        </w:tc>
        <w:tc>
          <w:tcPr>
            <w:tcW w:w="3695" w:type="dxa"/>
            <w:vAlign w:val="center"/>
          </w:tcPr>
          <w:p w14:paraId="7F62D47E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Ústí nad Labem–Chomutov–Karlovy Vary–Cheb–hranice ČR/Německo (–Bayreuth)</w:t>
            </w:r>
          </w:p>
        </w:tc>
        <w:tc>
          <w:tcPr>
            <w:tcW w:w="5725" w:type="dxa"/>
          </w:tcPr>
          <w:p w14:paraId="0D7EEAA0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v západní části na dálnici D6 a ve východní části na silnici I/13.</w:t>
            </w:r>
          </w:p>
        </w:tc>
      </w:tr>
      <w:tr w:rsidR="00FF3CA8" w:rsidRPr="008B0A35" w14:paraId="660B8104" w14:textId="77777777">
        <w:trPr>
          <w:trHeight w:val="283"/>
        </w:trPr>
        <w:tc>
          <w:tcPr>
            <w:tcW w:w="730" w:type="dxa"/>
            <w:vAlign w:val="center"/>
          </w:tcPr>
          <w:p w14:paraId="4AD73541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OS8</w:t>
            </w:r>
          </w:p>
        </w:tc>
        <w:tc>
          <w:tcPr>
            <w:tcW w:w="3695" w:type="dxa"/>
            <w:vAlign w:val="center"/>
          </w:tcPr>
          <w:p w14:paraId="3D22DFF2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Rozvojová osa Hradec Králové/Pardubice–Moravská Třebová–Mohelnice–Olomouc–Přerov</w:t>
            </w:r>
          </w:p>
        </w:tc>
        <w:tc>
          <w:tcPr>
            <w:tcW w:w="5725" w:type="dxa"/>
          </w:tcPr>
          <w:p w14:paraId="7DF61EE0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 a rozvojovou osu OS11, s výraznou vazbou na významné dopravní cesty, tj. dálnici D35 a její připravovanou část, silnici I/35 a III. TŽK, v západní části s I. TŽK, ve východní části s II. TŽK.</w:t>
            </w:r>
          </w:p>
        </w:tc>
      </w:tr>
      <w:tr w:rsidR="00FF3CA8" w:rsidRPr="008B0A35" w14:paraId="6FC3CB38" w14:textId="77777777">
        <w:trPr>
          <w:trHeight w:val="283"/>
        </w:trPr>
        <w:tc>
          <w:tcPr>
            <w:tcW w:w="730" w:type="dxa"/>
            <w:vAlign w:val="center"/>
          </w:tcPr>
          <w:p w14:paraId="62616A37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OS9</w:t>
            </w:r>
          </w:p>
        </w:tc>
        <w:tc>
          <w:tcPr>
            <w:tcW w:w="3695" w:type="dxa"/>
            <w:vAlign w:val="center"/>
          </w:tcPr>
          <w:p w14:paraId="4E34B22C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Brno–Svitavy/Moravská Třebová</w:t>
            </w:r>
          </w:p>
        </w:tc>
        <w:tc>
          <w:tcPr>
            <w:tcW w:w="5725" w:type="dxa"/>
          </w:tcPr>
          <w:p w14:paraId="56A414EE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 a rozvojovou osu OS8, s výraznou vazbou na významné dopravní cesty, tj. silnici I/43, koridor připravované kapacitní komunikace SD20 a I.TŽK Česká Třebová–Brno.</w:t>
            </w:r>
          </w:p>
        </w:tc>
      </w:tr>
      <w:tr w:rsidR="00FF3CA8" w:rsidRPr="008B0A35" w14:paraId="7DA909D7" w14:textId="77777777">
        <w:trPr>
          <w:trHeight w:val="283"/>
        </w:trPr>
        <w:tc>
          <w:tcPr>
            <w:tcW w:w="730" w:type="dxa"/>
            <w:vAlign w:val="center"/>
          </w:tcPr>
          <w:p w14:paraId="45581E9A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OS10</w:t>
            </w:r>
          </w:p>
        </w:tc>
        <w:tc>
          <w:tcPr>
            <w:tcW w:w="3695" w:type="dxa"/>
            <w:vAlign w:val="center"/>
          </w:tcPr>
          <w:p w14:paraId="609ACC24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(Katowice–) hranice Polsko/ČR–Ostrava–Lipník nad Bečvou–Olomouc–Brno–Břeclav–hranice ČR/Slovensko (–Bratislava)</w:t>
            </w:r>
          </w:p>
        </w:tc>
        <w:tc>
          <w:tcPr>
            <w:tcW w:w="5725" w:type="dxa"/>
          </w:tcPr>
          <w:p w14:paraId="2D9664E2" w14:textId="7B5824DF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dálnice D1, D2, D35, D46 a D48 a I.TŽK v úseku Brno–Břeclav a II. a III. TŽK v úseku Bohumín–Hranice na Moravě–Olomouc.</w:t>
            </w:r>
          </w:p>
        </w:tc>
      </w:tr>
      <w:tr w:rsidR="00FF3CA8" w:rsidRPr="008B0A35" w14:paraId="6CBA4AE6" w14:textId="77777777">
        <w:trPr>
          <w:trHeight w:val="283"/>
        </w:trPr>
        <w:tc>
          <w:tcPr>
            <w:tcW w:w="730" w:type="dxa"/>
            <w:vAlign w:val="center"/>
          </w:tcPr>
          <w:p w14:paraId="58EB71D8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OS11</w:t>
            </w:r>
          </w:p>
        </w:tc>
        <w:tc>
          <w:tcPr>
            <w:tcW w:w="3695" w:type="dxa"/>
            <w:vAlign w:val="center"/>
          </w:tcPr>
          <w:p w14:paraId="5B7B454E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Lipník nad Bečvou–Přerov–Uherské Hradiště–Břeclav–hranice ČR/Rakousko</w:t>
            </w:r>
          </w:p>
        </w:tc>
        <w:tc>
          <w:tcPr>
            <w:tcW w:w="5725" w:type="dxa"/>
          </w:tcPr>
          <w:p w14:paraId="231EB960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 a rozvojovou osu OS10, s výraznou vazbou na významné dopravní cesty, tj. silnici I/55, koridor připravované dálnice D55 a II. a III. TŽK v úseku Lipník nad Bečvou–Přerov a II. TŽK v úseku Přerov–Břeclav.</w:t>
            </w:r>
          </w:p>
        </w:tc>
      </w:tr>
      <w:tr w:rsidR="00FF3CA8" w:rsidRPr="008B0A35" w14:paraId="3937FCF6" w14:textId="77777777">
        <w:trPr>
          <w:trHeight w:val="283"/>
        </w:trPr>
        <w:tc>
          <w:tcPr>
            <w:tcW w:w="730" w:type="dxa"/>
            <w:vAlign w:val="center"/>
          </w:tcPr>
          <w:p w14:paraId="41D84E25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OS12</w:t>
            </w:r>
          </w:p>
        </w:tc>
        <w:tc>
          <w:tcPr>
            <w:tcW w:w="3695" w:type="dxa"/>
            <w:vAlign w:val="center"/>
          </w:tcPr>
          <w:p w14:paraId="223AAD32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Zlín–hranice ČR/Slovensko (–Púchov)</w:t>
            </w:r>
          </w:p>
        </w:tc>
        <w:tc>
          <w:tcPr>
            <w:tcW w:w="5725" w:type="dxa"/>
          </w:tcPr>
          <w:p w14:paraId="40132324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významnou dopravní cestu, tj. koridor připravované dálnice D49 a silnici I/49.</w:t>
            </w:r>
          </w:p>
        </w:tc>
      </w:tr>
      <w:tr w:rsidR="00FF3CA8" w:rsidRPr="008B0A35" w14:paraId="04E4B53E" w14:textId="77777777">
        <w:trPr>
          <w:trHeight w:val="283"/>
        </w:trPr>
        <w:tc>
          <w:tcPr>
            <w:tcW w:w="730" w:type="dxa"/>
            <w:vAlign w:val="center"/>
          </w:tcPr>
          <w:p w14:paraId="33F03DE3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center"/>
              <w:rPr>
                <w:rFonts w:cs="Arial"/>
                <w:b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OS13</w:t>
            </w:r>
          </w:p>
        </w:tc>
        <w:tc>
          <w:tcPr>
            <w:tcW w:w="3695" w:type="dxa"/>
            <w:vAlign w:val="center"/>
          </w:tcPr>
          <w:p w14:paraId="2283031C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jc w:val="left"/>
              <w:rPr>
                <w:rFonts w:cs="Arial"/>
                <w:sz w:val="18"/>
                <w:szCs w:val="18"/>
              </w:rPr>
            </w:pPr>
            <w:r w:rsidRPr="008B0A35">
              <w:rPr>
                <w:rFonts w:eastAsia="Times New Roman" w:cs="Arial"/>
                <w:sz w:val="18"/>
                <w:szCs w:val="18"/>
                <w:lang w:eastAsia="cs-CZ"/>
              </w:rPr>
              <w:t>Ostrava–Třinec–hranice ČR/Slovensko (– Žilina)</w:t>
            </w:r>
          </w:p>
        </w:tc>
        <w:tc>
          <w:tcPr>
            <w:tcW w:w="5725" w:type="dxa"/>
          </w:tcPr>
          <w:p w14:paraId="171B1441" w14:textId="77777777" w:rsidR="00FF3CA8" w:rsidRPr="008B0A35" w:rsidRDefault="000D7311">
            <w:pPr>
              <w:widowControl w:val="0"/>
              <w:suppressAutoHyphens w:val="0"/>
              <w:spacing w:after="0" w:line="240" w:lineRule="atLeast"/>
              <w:rPr>
                <w:rFonts w:eastAsia="Times New Roman" w:cs="Arial"/>
                <w:bCs/>
                <w:sz w:val="18"/>
                <w:szCs w:val="18"/>
                <w:lang w:eastAsia="cs-CZ"/>
              </w:rPr>
            </w:pPr>
            <w:r w:rsidRPr="008B0A35">
              <w:rPr>
                <w:rFonts w:eastAsia="Times New Roman" w:cs="Arial"/>
                <w:bCs/>
                <w:sz w:val="18"/>
                <w:szCs w:val="18"/>
                <w:lang w:eastAsia="cs-CZ"/>
              </w:rPr>
              <w:t>Obce mimo rozvojové oblasti, s výraznou vazbou na významné dopravní cesty, tj. silnici I/11, I/68 Třanovice–Mosty u Jablunkova–hranice ČR/Slovensko (–Žilina) a III. TŽK Český Těšín–Mosty u Jablunkova–hranice ČR/Slovensko (–Žilina).</w:t>
            </w:r>
          </w:p>
        </w:tc>
      </w:tr>
    </w:tbl>
    <w:p w14:paraId="5509C4C5" w14:textId="77777777" w:rsidR="00FF3CA8" w:rsidRPr="008B0A35" w:rsidRDefault="000D7311">
      <w:pPr>
        <w:suppressAutoHyphens w:val="0"/>
        <w:spacing w:before="113" w:after="0"/>
        <w:rPr>
          <w:i/>
        </w:rPr>
      </w:pPr>
      <w:r w:rsidRPr="008B0A35">
        <w:rPr>
          <w:i/>
        </w:rPr>
        <w:t xml:space="preserve">Zpracoval: Ústav územního rozvoje, 2022.  </w:t>
      </w:r>
    </w:p>
    <w:p w14:paraId="72CE8AB6" w14:textId="4383AB36" w:rsidR="00FF3CA8" w:rsidRPr="008B0A35" w:rsidRDefault="000D7311" w:rsidP="00484D9D">
      <w:pPr>
        <w:keepLines/>
        <w:suppressAutoHyphens w:val="0"/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 xml:space="preserve">Kraje v zásadách územního rozvoje dle potřeby upřesní vymezení rozvojových os v rozlišení podle území jednotlivých obcí, popřípadě jednotlivých katastrálních území, při respektování důvodů vymezení dotyčných rozvojových oblastí a rozvojových os. V případě rozvojových os a oblastí je možné tyto osy nebo oblasti vymezit i pouze v části katastrálního území. Zásady územního rozvoje jsou přístupné například z internetových stránek Informačního webu územního plánování ÚÚR na webové adrese: </w:t>
      </w:r>
      <w:hyperlink r:id="rId9">
        <w:r w:rsidRPr="008B0A35">
          <w:t>http://portal.uur.cz/</w:t>
        </w:r>
      </w:hyperlink>
      <w:r w:rsidRPr="008B0A35">
        <w:rPr>
          <w:rFonts w:eastAsia="Times New Roman" w:cs="Arial"/>
          <w:szCs w:val="20"/>
          <w:lang w:eastAsia="cs-CZ"/>
        </w:rPr>
        <w:t>.</w:t>
      </w:r>
    </w:p>
    <w:p w14:paraId="78AC5D74" w14:textId="1AD654B2" w:rsidR="00FF3CA8" w:rsidRPr="008B0A35" w:rsidRDefault="000D7311">
      <w:pPr>
        <w:suppressAutoHyphens w:val="0"/>
        <w:spacing w:before="113" w:after="0"/>
      </w:pPr>
      <w:r w:rsidRPr="008B0A35">
        <w:rPr>
          <w:rFonts w:eastAsia="Times New Roman" w:cs="Arial"/>
          <w:b/>
          <w:szCs w:val="20"/>
          <w:lang w:eastAsia="cs-CZ"/>
        </w:rPr>
        <w:t>Rozvojové oblasti a rozvojové osy republikového významu vymezené v PÚR, upřesněné v ZÚR, rozvojové oblasti a rozvojové osy</w:t>
      </w:r>
      <w:r w:rsidRPr="008B0A35">
        <w:rPr>
          <w:b/>
          <w:szCs w:val="20"/>
        </w:rPr>
        <w:t xml:space="preserve"> nadmístního významu vymezené v ZÚR</w:t>
      </w:r>
      <w:r w:rsidRPr="008B0A35">
        <w:rPr>
          <w:rFonts w:eastAsia="Times New Roman" w:cs="Arial"/>
          <w:b/>
          <w:szCs w:val="20"/>
          <w:lang w:eastAsia="cs-CZ"/>
        </w:rPr>
        <w:t xml:space="preserve"> jsou zobrazeny v grafickém listu 14. 1.</w:t>
      </w:r>
    </w:p>
    <w:p w14:paraId="078A165E" w14:textId="77777777" w:rsidR="00FF3CA8" w:rsidRPr="008B0A35" w:rsidRDefault="000D7311">
      <w:pPr>
        <w:suppressAutoHyphens w:val="0"/>
        <w:spacing w:before="340" w:after="227"/>
      </w:pPr>
      <w:r w:rsidRPr="008B0A35">
        <w:rPr>
          <w:rFonts w:eastAsiaTheme="majorEastAsia" w:cstheme="majorBidi"/>
          <w:b/>
          <w:bCs/>
          <w:color w:val="000099"/>
          <w:sz w:val="24"/>
          <w:szCs w:val="28"/>
        </w:rPr>
        <w:t>Specifické oblasti</w:t>
      </w:r>
    </w:p>
    <w:p w14:paraId="5788C4ED" w14:textId="4626F965" w:rsidR="00FF3CA8" w:rsidRPr="008B0A35" w:rsidRDefault="000D7311">
      <w:pPr>
        <w:suppressAutoHyphens w:val="0"/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 xml:space="preserve">Důvodem vymezení </w:t>
      </w:r>
      <w:r w:rsidR="007053B5">
        <w:rPr>
          <w:rFonts w:eastAsia="Times New Roman" w:cs="Arial"/>
          <w:szCs w:val="20"/>
          <w:lang w:eastAsia="cs-CZ"/>
        </w:rPr>
        <w:t xml:space="preserve">specifických oblastí (dále též </w:t>
      </w:r>
      <w:r w:rsidRPr="008B0A35">
        <w:rPr>
          <w:rFonts w:eastAsia="Times New Roman" w:cs="Arial"/>
          <w:szCs w:val="20"/>
          <w:lang w:eastAsia="cs-CZ"/>
        </w:rPr>
        <w:t>SOB</w:t>
      </w:r>
      <w:r w:rsidR="007053B5">
        <w:rPr>
          <w:rFonts w:eastAsia="Times New Roman" w:cs="Arial"/>
          <w:szCs w:val="20"/>
          <w:lang w:eastAsia="cs-CZ"/>
        </w:rPr>
        <w:t>)</w:t>
      </w:r>
      <w:r w:rsidRPr="008B0A35">
        <w:rPr>
          <w:rFonts w:eastAsia="Times New Roman" w:cs="Arial"/>
          <w:szCs w:val="20"/>
          <w:lang w:eastAsia="cs-CZ"/>
        </w:rPr>
        <w:t xml:space="preserve"> je ochrana specifických hodnot, resp. náprava, odstranění či zlepšení stavu specifických problémů v území. Ve specifických oblastech je dlouhodobě nezbytné s ohledem na širší územní souvislosti podporovat hospodářský rozvoj a sociální soudržnost v souladu se zásadami ochrany životního prostředí, přírody a</w:t>
      </w:r>
      <w:r w:rsidR="001204DA">
        <w:rPr>
          <w:rFonts w:eastAsia="Times New Roman" w:cs="Arial"/>
          <w:szCs w:val="20"/>
          <w:lang w:eastAsia="cs-CZ"/>
        </w:rPr>
        <w:t> </w:t>
      </w:r>
      <w:r w:rsidRPr="008B0A35">
        <w:rPr>
          <w:rFonts w:eastAsia="Times New Roman" w:cs="Arial"/>
          <w:szCs w:val="20"/>
          <w:lang w:eastAsia="cs-CZ"/>
        </w:rPr>
        <w:t>krajiny a při respektování kulturních a civilizačních hodnot území.</w:t>
      </w:r>
    </w:p>
    <w:p w14:paraId="34F79B74" w14:textId="191A2CD0" w:rsidR="00FF3CA8" w:rsidRPr="008B0A35" w:rsidRDefault="000D7311">
      <w:pPr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>Politika územního rozvoje České republiky dle § 32 odst. 1 písm. c) stavebního zákona vymezuje: „… oblasti se specifickými hodnotami a se specifickými problémy mezinárodního a republikového významu nebo které svým významem přesahují území jednoho kraje ...“,  ve vymezených SOB dle § 32 odst. 1 písm. e) stanoví „… kritéria a</w:t>
      </w:r>
      <w:r w:rsidR="001204DA">
        <w:rPr>
          <w:rFonts w:eastAsia="Times New Roman" w:cs="Arial"/>
          <w:szCs w:val="20"/>
          <w:lang w:eastAsia="cs-CZ"/>
        </w:rPr>
        <w:t> </w:t>
      </w:r>
      <w:r w:rsidRPr="008B0A35">
        <w:rPr>
          <w:rFonts w:eastAsia="Times New Roman" w:cs="Arial"/>
          <w:szCs w:val="20"/>
          <w:lang w:eastAsia="cs-CZ"/>
        </w:rPr>
        <w:t>podmínky pro rozhodování o možných variantách nebo alternativách změn v území a pro jejich posuzování, zejména s ohledem na jejich budoucí význam, možná ohrožení, rozvoj, útlum, preference a rizika ...“.</w:t>
      </w:r>
    </w:p>
    <w:p w14:paraId="1A138570" w14:textId="5CC9F625" w:rsidR="00FF3CA8" w:rsidRPr="008B0A35" w:rsidRDefault="000D7311">
      <w:pPr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>Podle článku (65) platné PÚR se vymezují SOB: „… v územích, ve kterých se v porovnání s ostatním územím ČR dlouhodobě projevují problémy z hlediska udržitelného rozvoje území, tj. problémy se zajištěním vyváženého vztahu příznivého životního prostředí, hospodářského rozvoje a soudržnosti společenství obyvatel území (uvedené v</w:t>
      </w:r>
      <w:r w:rsidR="001204DA">
        <w:rPr>
          <w:rFonts w:eastAsia="Times New Roman" w:cs="Arial"/>
          <w:szCs w:val="20"/>
          <w:lang w:eastAsia="cs-CZ"/>
        </w:rPr>
        <w:t> </w:t>
      </w:r>
      <w:r w:rsidRPr="008B0A35">
        <w:rPr>
          <w:rFonts w:eastAsia="Times New Roman" w:cs="Arial"/>
          <w:szCs w:val="20"/>
          <w:lang w:eastAsia="cs-CZ"/>
        </w:rPr>
        <w:t>důvodech vymezení)“. a dále vymezuje SOB „… v územích, ve kterých se projevují aktuální problémy republikového významu, nebo které svým významem přesahují území kraje“. Pro vymezené SOB se stanovují úkoly pro územní plánování a úkoly pro ministerstva a jiné ústřední správní úřady.</w:t>
      </w:r>
    </w:p>
    <w:p w14:paraId="79F2DA6C" w14:textId="2AC674E6" w:rsidR="00FF3CA8" w:rsidRPr="008B0A35" w:rsidRDefault="000D7311">
      <w:pPr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>Vymezování specifických oblastí v zásadách územního rozvoje je stanoveno v příloze č. 4 vyhlášky č. 500/2006 Sb. v části I. odst. 1 písm. c), kde se krajům ukládá: „… zpřesnění vymezení specifických oblastí ... vymezených v</w:t>
      </w:r>
      <w:r w:rsidR="001204DA">
        <w:rPr>
          <w:rFonts w:eastAsia="Times New Roman" w:cs="Arial"/>
          <w:szCs w:val="20"/>
          <w:lang w:eastAsia="cs-CZ"/>
        </w:rPr>
        <w:t> </w:t>
      </w:r>
      <w:r w:rsidRPr="008B0A35">
        <w:rPr>
          <w:rFonts w:eastAsia="Times New Roman" w:cs="Arial"/>
          <w:szCs w:val="20"/>
          <w:lang w:eastAsia="cs-CZ"/>
        </w:rPr>
        <w:t>politice územního rozvoje a vymezení dalších specifických oblastí nadmístního významu, …“. Podle čl. (68) PÚR se krajům ukládá vymezení SOB: „… v rozlišení podle území jednotlivých obcí, případně s ohledem na charakter daného území podle jednotlivých katastrálních území a výjimečně, ve zvláště odůvodněných případech, i podle částí katastrálních území …“.</w:t>
      </w:r>
    </w:p>
    <w:p w14:paraId="74B25F09" w14:textId="2E38F0FE" w:rsidR="00FF3CA8" w:rsidRPr="008B0A35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B0A35">
        <w:rPr>
          <w:rFonts w:ascii="Arial" w:hAnsi="Arial" w:cs="Arial"/>
          <w:sz w:val="20"/>
          <w:szCs w:val="20"/>
        </w:rPr>
        <w:t>V ZÚR se pro vymezené specifické oblasti stanovují obdobně jako v PÚR kritéria a podmínky pro rozhodování o</w:t>
      </w:r>
      <w:r w:rsidR="007F034C">
        <w:rPr>
          <w:rFonts w:ascii="Arial" w:hAnsi="Arial" w:cs="Arial"/>
          <w:sz w:val="20"/>
          <w:szCs w:val="20"/>
        </w:rPr>
        <w:t> </w:t>
      </w:r>
      <w:r w:rsidRPr="008B0A35">
        <w:rPr>
          <w:rFonts w:ascii="Arial" w:hAnsi="Arial" w:cs="Arial"/>
          <w:sz w:val="20"/>
          <w:szCs w:val="20"/>
        </w:rPr>
        <w:t>možných variantách nebo alternativách změn v území a pro jejich posuzování a úkoly pro územní plánování, Podkladem pro vymezení specifických oblastí nadmístního významu v ZÚR jsou především územně analytické podklady (zejm. rozbor udržitelného rozvoje území a problémy k řešení v územně plánovací dokumentaci) a konkrétní znalosti problematiky území daného kraje.</w:t>
      </w:r>
    </w:p>
    <w:p w14:paraId="79F4DB92" w14:textId="77777777" w:rsidR="00FF3CA8" w:rsidRPr="008B0A35" w:rsidRDefault="000D7311">
      <w:pPr>
        <w:suppressAutoHyphens w:val="0"/>
        <w:spacing w:before="340" w:after="227"/>
      </w:pPr>
      <w:r w:rsidRPr="008B0A35">
        <w:rPr>
          <w:b/>
          <w:color w:val="000099"/>
          <w:sz w:val="24"/>
          <w:szCs w:val="24"/>
        </w:rPr>
        <w:t>14.3</w:t>
      </w:r>
      <w:r w:rsidRPr="008B0A35">
        <w:rPr>
          <w:color w:val="000099"/>
        </w:rPr>
        <w:t xml:space="preserve"> </w:t>
      </w:r>
      <w:r w:rsidRPr="008B0A35">
        <w:rPr>
          <w:color w:val="000099"/>
        </w:rPr>
        <w:tab/>
      </w:r>
      <w:r w:rsidRPr="008B0A35">
        <w:rPr>
          <w:rFonts w:eastAsiaTheme="majorEastAsia" w:cstheme="majorBidi"/>
          <w:b/>
          <w:bCs/>
          <w:color w:val="000099"/>
          <w:sz w:val="24"/>
          <w:szCs w:val="28"/>
        </w:rPr>
        <w:t>Specifické oblasti republikového významu dle PÚR upřesněné v ZÚR</w:t>
      </w:r>
    </w:p>
    <w:p w14:paraId="41986142" w14:textId="662F74A5" w:rsidR="00FF3CA8" w:rsidRPr="008B0A35" w:rsidRDefault="000D7311">
      <w:pPr>
        <w:spacing w:before="113" w:after="0"/>
        <w:rPr>
          <w:rFonts w:eastAsia="Times New Roman" w:cs="Arial"/>
          <w:szCs w:val="20"/>
          <w:lang w:eastAsia="cs-CZ"/>
        </w:rPr>
      </w:pPr>
      <w:r w:rsidRPr="008B0A35">
        <w:rPr>
          <w:rFonts w:eastAsia="Times New Roman" w:cs="Arial"/>
          <w:szCs w:val="20"/>
          <w:lang w:eastAsia="cs-CZ"/>
        </w:rPr>
        <w:t>Politika územního rozvoje České republiky vymezuje specifické oblasti republikového významu, jejichž vymezení je následně upřesněno v zásadách územního rozvoje. PÚR ČR je přístupná například z internetových stránek MMR</w:t>
      </w:r>
      <w:r w:rsidR="007053B5">
        <w:rPr>
          <w:rFonts w:eastAsia="Times New Roman" w:cs="Arial"/>
          <w:szCs w:val="20"/>
          <w:lang w:eastAsia="cs-CZ"/>
        </w:rPr>
        <w:t xml:space="preserve"> na </w:t>
      </w:r>
      <w:r w:rsidR="003062EE">
        <w:rPr>
          <w:rFonts w:eastAsia="Times New Roman" w:cs="Arial"/>
          <w:szCs w:val="20"/>
          <w:lang w:eastAsia="cs-CZ"/>
        </w:rPr>
        <w:t xml:space="preserve">webové </w:t>
      </w:r>
      <w:r w:rsidR="007053B5">
        <w:rPr>
          <w:rFonts w:eastAsia="Times New Roman" w:cs="Arial"/>
          <w:szCs w:val="20"/>
          <w:lang w:eastAsia="cs-CZ"/>
        </w:rPr>
        <w:t>adrese</w:t>
      </w:r>
      <w:r w:rsidRPr="008B0A35">
        <w:rPr>
          <w:rFonts w:eastAsia="Times New Roman" w:cs="Arial"/>
          <w:szCs w:val="20"/>
          <w:lang w:eastAsia="cs-CZ"/>
        </w:rPr>
        <w:t xml:space="preserve">: </w:t>
      </w:r>
      <w:hyperlink r:id="rId10" w:history="1">
        <w:r w:rsidRPr="0089222B">
          <w:rPr>
            <w:rStyle w:val="Hypertextovodkaz"/>
            <w:rFonts w:eastAsia="Times New Roman" w:cs="Arial"/>
            <w:color w:val="auto"/>
            <w:spacing w:val="-4"/>
            <w:szCs w:val="20"/>
            <w:lang w:eastAsia="cs-CZ"/>
          </w:rPr>
          <w:t>https://www.mmr.cz/</w:t>
        </w:r>
      </w:hyperlink>
      <w:r w:rsidRPr="0089222B">
        <w:rPr>
          <w:rFonts w:eastAsia="Times New Roman" w:cs="Arial"/>
          <w:spacing w:val="-4"/>
          <w:szCs w:val="20"/>
          <w:lang w:eastAsia="cs-CZ"/>
        </w:rPr>
        <w:t>.</w:t>
      </w:r>
    </w:p>
    <w:p w14:paraId="0DD7E624" w14:textId="77777777" w:rsidR="00FF3CA8" w:rsidRPr="001A22FC" w:rsidRDefault="000D7311" w:rsidP="00484D9D">
      <w:pPr>
        <w:pageBreakBefore/>
        <w:spacing w:before="227" w:after="113"/>
        <w:jc w:val="left"/>
        <w:rPr>
          <w:rFonts w:eastAsia="Times New Roman" w:cs="Arial"/>
          <w:b/>
          <w:szCs w:val="20"/>
          <w:lang w:eastAsia="cs-CZ"/>
        </w:rPr>
      </w:pPr>
      <w:r w:rsidRPr="001A22FC">
        <w:rPr>
          <w:rFonts w:eastAsia="Times New Roman" w:cs="Arial"/>
          <w:b/>
          <w:szCs w:val="20"/>
          <w:lang w:eastAsia="cs-CZ"/>
        </w:rPr>
        <w:lastRenderedPageBreak/>
        <w:t>Tab. 14.3: Specifické oblasti republikového významu vymezené v PÚR</w:t>
      </w:r>
    </w:p>
    <w:tbl>
      <w:tblPr>
        <w:tblStyle w:val="Mkatabulky"/>
        <w:tblW w:w="10088" w:type="dxa"/>
        <w:jc w:val="right"/>
        <w:tblLayout w:type="fixed"/>
        <w:tblLook w:val="04A0" w:firstRow="1" w:lastRow="0" w:firstColumn="1" w:lastColumn="0" w:noHBand="0" w:noVBand="1"/>
      </w:tblPr>
      <w:tblGrid>
        <w:gridCol w:w="1188"/>
        <w:gridCol w:w="3910"/>
        <w:gridCol w:w="4990"/>
      </w:tblGrid>
      <w:tr w:rsidR="00FF3CA8" w:rsidRPr="008B0A35" w14:paraId="08C9F87D" w14:textId="77777777" w:rsidTr="00EB386E">
        <w:trPr>
          <w:jc w:val="right"/>
        </w:trPr>
        <w:tc>
          <w:tcPr>
            <w:tcW w:w="1188" w:type="dxa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FFFFFF"/>
            </w:tcBorders>
            <w:shd w:val="clear" w:color="auto" w:fill="000096"/>
            <w:vAlign w:val="center"/>
          </w:tcPr>
          <w:p w14:paraId="2EA4994B" w14:textId="77777777" w:rsidR="00FF3CA8" w:rsidRPr="008B0A35" w:rsidRDefault="000D7311">
            <w:pPr>
              <w:widowControl w:val="0"/>
              <w:spacing w:before="60" w:after="60"/>
              <w:jc w:val="center"/>
            </w:pPr>
            <w:r w:rsidRPr="008B0A35">
              <w:rPr>
                <w:rFonts w:cs="Arial"/>
                <w:b/>
                <w:sz w:val="18"/>
                <w:szCs w:val="18"/>
              </w:rPr>
              <w:t>Označení SOB dle platné PÚR</w:t>
            </w:r>
          </w:p>
        </w:tc>
        <w:tc>
          <w:tcPr>
            <w:tcW w:w="3910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FFFFFF"/>
            </w:tcBorders>
            <w:shd w:val="clear" w:color="auto" w:fill="000096"/>
            <w:vAlign w:val="center"/>
          </w:tcPr>
          <w:p w14:paraId="7B999E25" w14:textId="77777777" w:rsidR="00FF3CA8" w:rsidRPr="008B0A35" w:rsidRDefault="000D7311">
            <w:pPr>
              <w:widowControl w:val="0"/>
              <w:spacing w:before="60" w:after="60"/>
              <w:jc w:val="center"/>
            </w:pPr>
            <w:r w:rsidRPr="008B0A35">
              <w:rPr>
                <w:rFonts w:cs="Arial"/>
                <w:b/>
                <w:sz w:val="18"/>
                <w:szCs w:val="18"/>
              </w:rPr>
              <w:t>Název specifické oblasti dle platné PÚR</w:t>
            </w:r>
          </w:p>
        </w:tc>
        <w:tc>
          <w:tcPr>
            <w:tcW w:w="4990" w:type="dxa"/>
            <w:tcBorders>
              <w:top w:val="single" w:sz="4" w:space="0" w:color="000099"/>
              <w:left w:val="single" w:sz="4" w:space="0" w:color="FFFFFF"/>
              <w:bottom w:val="single" w:sz="4" w:space="0" w:color="000099"/>
              <w:right w:val="single" w:sz="4" w:space="0" w:color="000099"/>
            </w:tcBorders>
            <w:shd w:val="clear" w:color="auto" w:fill="000096"/>
            <w:vAlign w:val="center"/>
          </w:tcPr>
          <w:p w14:paraId="4F54F1B8" w14:textId="58167D63" w:rsidR="00FF3CA8" w:rsidRPr="008B0A35" w:rsidRDefault="000D7311">
            <w:pPr>
              <w:widowControl w:val="0"/>
              <w:spacing w:after="0"/>
              <w:jc w:val="center"/>
            </w:pPr>
            <w:r w:rsidRPr="008B0A35">
              <w:rPr>
                <w:rFonts w:cs="Arial"/>
                <w:b/>
                <w:sz w:val="18"/>
                <w:szCs w:val="18"/>
              </w:rPr>
              <w:t>Kraj, na jehož území je specifická oblast vymezena</w:t>
            </w:r>
          </w:p>
        </w:tc>
      </w:tr>
      <w:tr w:rsidR="00FF3CA8" w:rsidRPr="008B0A35" w14:paraId="1C0119AB" w14:textId="77777777" w:rsidTr="00EB386E">
        <w:trPr>
          <w:jc w:val="right"/>
        </w:trPr>
        <w:tc>
          <w:tcPr>
            <w:tcW w:w="1188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474E8251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SOB1</w:t>
            </w:r>
          </w:p>
        </w:tc>
        <w:tc>
          <w:tcPr>
            <w:tcW w:w="3910" w:type="dxa"/>
            <w:tcBorders>
              <w:top w:val="single" w:sz="4" w:space="0" w:color="000099"/>
            </w:tcBorders>
            <w:shd w:val="clear" w:color="auto" w:fill="auto"/>
            <w:vAlign w:val="center"/>
          </w:tcPr>
          <w:p w14:paraId="29EA2C07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Šumava</w:t>
            </w:r>
          </w:p>
        </w:tc>
        <w:tc>
          <w:tcPr>
            <w:tcW w:w="4990" w:type="dxa"/>
            <w:tcBorders>
              <w:top w:val="single" w:sz="4" w:space="0" w:color="000099"/>
            </w:tcBorders>
            <w:vAlign w:val="center"/>
          </w:tcPr>
          <w:p w14:paraId="17A7D0C7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Jihočeský, Plzeňský</w:t>
            </w:r>
          </w:p>
        </w:tc>
      </w:tr>
      <w:tr w:rsidR="00FF3CA8" w:rsidRPr="008B0A35" w14:paraId="58C7F696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71427183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SOB2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1D0997DE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Beskydy</w:t>
            </w:r>
          </w:p>
        </w:tc>
        <w:tc>
          <w:tcPr>
            <w:tcW w:w="4990" w:type="dxa"/>
            <w:vAlign w:val="center"/>
          </w:tcPr>
          <w:p w14:paraId="1413DB12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Moravskoslezský, Zlínský</w:t>
            </w:r>
          </w:p>
        </w:tc>
      </w:tr>
      <w:tr w:rsidR="00FF3CA8" w:rsidRPr="008B0A35" w14:paraId="1CD99DB7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0A4BC96A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SOB3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187A90B9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Jeseníky – Králický Sněžník</w:t>
            </w:r>
          </w:p>
        </w:tc>
        <w:tc>
          <w:tcPr>
            <w:tcW w:w="4990" w:type="dxa"/>
            <w:vAlign w:val="center"/>
          </w:tcPr>
          <w:p w14:paraId="310EB8F0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Moravskoslezský, Olomoucký, Pardubický</w:t>
            </w:r>
          </w:p>
        </w:tc>
      </w:tr>
      <w:tr w:rsidR="00FF3CA8" w:rsidRPr="008B0A35" w14:paraId="248A15B2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638436BE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SOB4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6234F8E1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Karvinsko</w:t>
            </w:r>
          </w:p>
        </w:tc>
        <w:tc>
          <w:tcPr>
            <w:tcW w:w="4990" w:type="dxa"/>
            <w:vAlign w:val="center"/>
          </w:tcPr>
          <w:p w14:paraId="253CB21F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Moravskoslezský</w:t>
            </w:r>
          </w:p>
        </w:tc>
      </w:tr>
      <w:tr w:rsidR="00FF3CA8" w:rsidRPr="008B0A35" w14:paraId="772F6E5A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606F1D9C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SOB5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21CFE29C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Mostecko</w:t>
            </w:r>
          </w:p>
        </w:tc>
        <w:tc>
          <w:tcPr>
            <w:tcW w:w="4990" w:type="dxa"/>
            <w:vAlign w:val="center"/>
          </w:tcPr>
          <w:p w14:paraId="3F353498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Ústecký</w:t>
            </w:r>
          </w:p>
        </w:tc>
      </w:tr>
      <w:tr w:rsidR="00FF3CA8" w:rsidRPr="008B0A35" w14:paraId="33F359E7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71A9694E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SOB6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0B39C3DC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Krušné hory</w:t>
            </w:r>
          </w:p>
        </w:tc>
        <w:tc>
          <w:tcPr>
            <w:tcW w:w="4990" w:type="dxa"/>
            <w:vAlign w:val="center"/>
          </w:tcPr>
          <w:p w14:paraId="421B7F67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Ústecký, Karlovarský</w:t>
            </w:r>
          </w:p>
        </w:tc>
      </w:tr>
      <w:tr w:rsidR="00FF3CA8" w:rsidRPr="008B0A35" w14:paraId="7BF0212C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19CCB156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SOB7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5CBBEF7B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Krkonoše – Jizerské hory</w:t>
            </w:r>
          </w:p>
        </w:tc>
        <w:tc>
          <w:tcPr>
            <w:tcW w:w="4990" w:type="dxa"/>
            <w:vAlign w:val="center"/>
          </w:tcPr>
          <w:p w14:paraId="30DF2736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Královéhradecký, Liberecký</w:t>
            </w:r>
          </w:p>
        </w:tc>
      </w:tr>
      <w:tr w:rsidR="00FF3CA8" w:rsidRPr="008B0A35" w14:paraId="3BCA075B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46359E07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SOB8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11FC54ED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Sokolovsko</w:t>
            </w:r>
          </w:p>
        </w:tc>
        <w:tc>
          <w:tcPr>
            <w:tcW w:w="4990" w:type="dxa"/>
            <w:vAlign w:val="center"/>
          </w:tcPr>
          <w:p w14:paraId="1852CE88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Karlovarský (v Karlovarském kraji není specifická oblast SOB8 upřesněna v ZÚR)</w:t>
            </w:r>
          </w:p>
        </w:tc>
      </w:tr>
      <w:tr w:rsidR="00FF3CA8" w:rsidRPr="008B0A35" w14:paraId="01ADAF6E" w14:textId="77777777" w:rsidTr="00EB386E">
        <w:trPr>
          <w:jc w:val="right"/>
        </w:trPr>
        <w:tc>
          <w:tcPr>
            <w:tcW w:w="1188" w:type="dxa"/>
            <w:shd w:val="clear" w:color="auto" w:fill="auto"/>
            <w:vAlign w:val="center"/>
          </w:tcPr>
          <w:p w14:paraId="508900A1" w14:textId="77777777" w:rsidR="00FF3CA8" w:rsidRPr="00023A8E" w:rsidRDefault="000D7311">
            <w:pPr>
              <w:widowControl w:val="0"/>
              <w:spacing w:before="20" w:after="20"/>
              <w:jc w:val="center"/>
              <w:rPr>
                <w:rStyle w:val="mw-editsection1"/>
              </w:rPr>
            </w:pPr>
            <w:r w:rsidRPr="00023A8E">
              <w:rPr>
                <w:rStyle w:val="mw-editsection1"/>
              </w:rPr>
              <w:t>SOB9</w:t>
            </w:r>
          </w:p>
        </w:tc>
        <w:tc>
          <w:tcPr>
            <w:tcW w:w="3910" w:type="dxa"/>
            <w:shd w:val="clear" w:color="auto" w:fill="auto"/>
            <w:vAlign w:val="center"/>
          </w:tcPr>
          <w:p w14:paraId="32EA00C6" w14:textId="77777777" w:rsidR="00FF3CA8" w:rsidRPr="00023A8E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023A8E">
              <w:rPr>
                <w:rStyle w:val="mw-editsection1"/>
              </w:rPr>
              <w:t>specifická oblast, ve které se projevuje aktuální problém ohrožení území suchem</w:t>
            </w:r>
          </w:p>
        </w:tc>
        <w:tc>
          <w:tcPr>
            <w:tcW w:w="4990" w:type="dxa"/>
            <w:vAlign w:val="center"/>
          </w:tcPr>
          <w:p w14:paraId="562C6F10" w14:textId="77777777" w:rsidR="00FF3CA8" w:rsidRPr="001A22FC" w:rsidRDefault="000D7311">
            <w:pPr>
              <w:widowControl w:val="0"/>
              <w:spacing w:before="20" w:after="20"/>
              <w:jc w:val="left"/>
              <w:rPr>
                <w:rStyle w:val="mw-editsection1"/>
              </w:rPr>
            </w:pPr>
            <w:r w:rsidRPr="001A22FC">
              <w:rPr>
                <w:rStyle w:val="mw-editsection1"/>
              </w:rPr>
              <w:t>všechny kraje (v žádném kraji není specifická oblast SOB9 upřesněna v ZÚR)</w:t>
            </w:r>
          </w:p>
        </w:tc>
      </w:tr>
    </w:tbl>
    <w:p w14:paraId="7F2FB0AD" w14:textId="77777777" w:rsidR="00FF3CA8" w:rsidRPr="009E0CF3" w:rsidRDefault="000D7311">
      <w:pPr>
        <w:spacing w:before="113" w:after="0"/>
        <w:jc w:val="left"/>
        <w:rPr>
          <w:i/>
        </w:rPr>
      </w:pPr>
      <w:r w:rsidRPr="009E0CF3">
        <w:rPr>
          <w:i/>
        </w:rPr>
        <w:t>Zpracoval: Ústav územního rozvoje, 2022.</w:t>
      </w:r>
    </w:p>
    <w:p w14:paraId="6399D303" w14:textId="77777777" w:rsidR="00FF3CA8" w:rsidRPr="00023A8E" w:rsidRDefault="000D7311">
      <w:pPr>
        <w:suppressAutoHyphens w:val="0"/>
        <w:spacing w:before="113" w:after="0"/>
        <w:rPr>
          <w:rFonts w:eastAsia="Times New Roman" w:cs="Arial"/>
          <w:b/>
          <w:szCs w:val="20"/>
          <w:lang w:eastAsia="cs-CZ"/>
        </w:rPr>
      </w:pPr>
      <w:r w:rsidRPr="00023A8E">
        <w:rPr>
          <w:rFonts w:eastAsia="Times New Roman" w:cs="Arial"/>
          <w:b/>
          <w:szCs w:val="20"/>
          <w:lang w:eastAsia="cs-CZ"/>
        </w:rPr>
        <w:t>Specifické oblasti republikového významu dle PÚR upřesněné v ZÚR, viz grafický list 14.2.</w:t>
      </w:r>
    </w:p>
    <w:p w14:paraId="1F40F5BB" w14:textId="77777777" w:rsidR="00FF3CA8" w:rsidRPr="008B0A35" w:rsidRDefault="000D7311">
      <w:pPr>
        <w:pStyle w:val="nadpisek3"/>
        <w:spacing w:before="340" w:after="227"/>
        <w:rPr>
          <w:color w:val="000099"/>
        </w:rPr>
      </w:pPr>
      <w:r w:rsidRPr="008B0A35">
        <w:rPr>
          <w:color w:val="000099"/>
        </w:rPr>
        <w:t>14.4</w:t>
      </w:r>
      <w:r w:rsidRPr="008B0A35">
        <w:rPr>
          <w:color w:val="000099"/>
        </w:rPr>
        <w:tab/>
        <w:t>Rozvojové oblasti nadmístního významu vymezené v ZÚR</w:t>
      </w:r>
    </w:p>
    <w:p w14:paraId="1A1FC008" w14:textId="44EAE9FB" w:rsidR="00FF3CA8" w:rsidRPr="001A22FC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B0A35">
        <w:rPr>
          <w:rFonts w:ascii="Arial" w:hAnsi="Arial" w:cs="Arial"/>
          <w:sz w:val="20"/>
          <w:szCs w:val="20"/>
        </w:rPr>
        <w:t xml:space="preserve">Zásady územního rozvoje jednotlivých krajů vymezují rozvojové osy nadmístního významu. Zásady územního rozvoje jsou přístupné například z internetových stránek </w:t>
      </w:r>
      <w:r w:rsidRPr="001A22FC">
        <w:rPr>
          <w:rFonts w:ascii="Arial" w:hAnsi="Arial" w:cs="Arial"/>
          <w:sz w:val="20"/>
          <w:szCs w:val="20"/>
        </w:rPr>
        <w:t>Informačního webu územního plánování ÚÚR</w:t>
      </w:r>
      <w:r w:rsidRPr="008B0A35">
        <w:rPr>
          <w:rFonts w:ascii="Arial" w:hAnsi="Arial" w:cs="Arial"/>
          <w:sz w:val="20"/>
          <w:szCs w:val="20"/>
        </w:rPr>
        <w:t xml:space="preserve"> na webové adrese: </w:t>
      </w:r>
      <w:hyperlink r:id="rId11">
        <w:r w:rsidRPr="007F034C">
          <w:rPr>
            <w:rStyle w:val="Internetovodkaz"/>
            <w:rFonts w:ascii="Arial" w:hAnsi="Arial" w:cs="Arial"/>
            <w:color w:val="000000"/>
            <w:sz w:val="20"/>
            <w:szCs w:val="20"/>
          </w:rPr>
          <w:t>http://portal.uur.cz/</w:t>
        </w:r>
      </w:hyperlink>
      <w:r w:rsidRPr="008B0A35">
        <w:rPr>
          <w:rFonts w:ascii="Arial" w:hAnsi="Arial" w:cs="Arial"/>
          <w:sz w:val="20"/>
          <w:szCs w:val="20"/>
        </w:rPr>
        <w:t>.</w:t>
      </w:r>
    </w:p>
    <w:p w14:paraId="4F16B61E" w14:textId="77777777" w:rsidR="00FF3CA8" w:rsidRPr="001A22FC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1A22FC">
        <w:rPr>
          <w:rFonts w:ascii="Arial" w:hAnsi="Arial" w:cs="Arial"/>
          <w:b/>
          <w:sz w:val="20"/>
          <w:szCs w:val="20"/>
        </w:rPr>
        <w:t>Rozvojové oblasti nadmístního významu vymezené v ZÚR, viz grafický list 14.1.</w:t>
      </w:r>
    </w:p>
    <w:p w14:paraId="3555741E" w14:textId="77777777" w:rsidR="00FF3CA8" w:rsidRPr="008B0A35" w:rsidRDefault="000D7311">
      <w:pPr>
        <w:pStyle w:val="nadpisek3"/>
        <w:spacing w:before="340" w:after="227"/>
        <w:rPr>
          <w:color w:val="000099"/>
        </w:rPr>
      </w:pPr>
      <w:r w:rsidRPr="008B0A35">
        <w:rPr>
          <w:color w:val="000099"/>
        </w:rPr>
        <w:t xml:space="preserve">14.5 </w:t>
      </w:r>
      <w:r w:rsidRPr="008B0A35">
        <w:rPr>
          <w:color w:val="000099"/>
        </w:rPr>
        <w:tab/>
        <w:t>Rozvojové osy nadmístního významu vymezené v ZÚR</w:t>
      </w:r>
    </w:p>
    <w:p w14:paraId="2A5466DC" w14:textId="031F17E8" w:rsidR="00FF3CA8" w:rsidRPr="008B0A35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B0A35">
        <w:rPr>
          <w:rFonts w:ascii="Arial" w:hAnsi="Arial" w:cs="Arial"/>
          <w:sz w:val="20"/>
          <w:szCs w:val="20"/>
        </w:rPr>
        <w:t xml:space="preserve">Zásady územního rozvoje jednotlivých krajů vymezují rozvojové osy nadmístního významu. Zásady územního rozvoje jsou přístupné například z internetových stránek </w:t>
      </w:r>
      <w:r w:rsidRPr="001A22FC">
        <w:rPr>
          <w:rFonts w:ascii="Arial" w:hAnsi="Arial" w:cs="Arial"/>
          <w:sz w:val="20"/>
          <w:szCs w:val="20"/>
        </w:rPr>
        <w:t>Informačního webu územního plánování ÚÚR</w:t>
      </w:r>
      <w:r w:rsidRPr="008B0A35">
        <w:rPr>
          <w:rFonts w:ascii="Arial" w:hAnsi="Arial" w:cs="Arial"/>
          <w:sz w:val="20"/>
          <w:szCs w:val="20"/>
        </w:rPr>
        <w:t xml:space="preserve"> na webové adrese: </w:t>
      </w:r>
      <w:hyperlink r:id="rId12">
        <w:r w:rsidRPr="008B0A35">
          <w:rPr>
            <w:rStyle w:val="Internetovodkaz"/>
            <w:rFonts w:ascii="Arial" w:hAnsi="Arial" w:cs="Arial"/>
            <w:color w:val="000000"/>
            <w:sz w:val="20"/>
            <w:szCs w:val="20"/>
            <w:u w:val="none"/>
          </w:rPr>
          <w:t>http://portal.uur.cz/</w:t>
        </w:r>
      </w:hyperlink>
      <w:r w:rsidRPr="008B0A35">
        <w:rPr>
          <w:rFonts w:ascii="Arial" w:hAnsi="Arial" w:cs="Arial"/>
          <w:sz w:val="20"/>
          <w:szCs w:val="20"/>
        </w:rPr>
        <w:t>.</w:t>
      </w:r>
    </w:p>
    <w:p w14:paraId="02FAD619" w14:textId="77777777" w:rsidR="00FF3CA8" w:rsidRPr="001A22FC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1A22FC">
        <w:rPr>
          <w:rFonts w:ascii="Arial" w:hAnsi="Arial" w:cs="Arial"/>
          <w:b/>
          <w:sz w:val="20"/>
          <w:szCs w:val="20"/>
        </w:rPr>
        <w:t>Rozvojové osy nadmístního významu vymezené v ZÚR, viz grafický list 14.1.</w:t>
      </w:r>
    </w:p>
    <w:p w14:paraId="6BF43E31" w14:textId="77777777" w:rsidR="00FF3CA8" w:rsidRPr="008B0A35" w:rsidRDefault="000D7311">
      <w:pPr>
        <w:pStyle w:val="napisek4"/>
        <w:spacing w:before="340" w:after="227"/>
        <w:rPr>
          <w:sz w:val="24"/>
          <w:szCs w:val="24"/>
        </w:rPr>
      </w:pPr>
      <w:r w:rsidRPr="008B0A35">
        <w:rPr>
          <w:rFonts w:eastAsia="Times New Roman"/>
          <w:color w:val="000099"/>
          <w:sz w:val="24"/>
          <w:szCs w:val="24"/>
          <w:lang w:eastAsia="cs-CZ"/>
        </w:rPr>
        <w:t>14.6</w:t>
      </w:r>
      <w:r w:rsidRPr="008B0A35">
        <w:rPr>
          <w:rFonts w:eastAsia="Times New Roman"/>
          <w:color w:val="000099"/>
          <w:sz w:val="24"/>
          <w:szCs w:val="24"/>
          <w:lang w:eastAsia="cs-CZ"/>
        </w:rPr>
        <w:tab/>
        <w:t>Specifické oblasti nadmístního významu vymezené v ZÚR</w:t>
      </w:r>
    </w:p>
    <w:p w14:paraId="1402D817" w14:textId="77777777" w:rsidR="00FF3CA8" w:rsidRPr="009B76C1" w:rsidRDefault="000D7311">
      <w:pPr>
        <w:pStyle w:val="Normlnweb"/>
        <w:spacing w:before="113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B0A35">
        <w:rPr>
          <w:rFonts w:ascii="Arial" w:hAnsi="Arial" w:cs="Arial"/>
          <w:sz w:val="20"/>
          <w:szCs w:val="20"/>
        </w:rPr>
        <w:t xml:space="preserve">Zásady územního rozvoje jednotlivých krajů vymezují specifické oblasti nadmístního významu. Zásady územního rozvoje jsou přístupné například z internetových stránek </w:t>
      </w:r>
      <w:r w:rsidRPr="001A22FC">
        <w:rPr>
          <w:rFonts w:ascii="Arial" w:hAnsi="Arial" w:cs="Arial"/>
          <w:sz w:val="20"/>
          <w:szCs w:val="20"/>
        </w:rPr>
        <w:t xml:space="preserve">Informačního webu územního plánování ÚÚR </w:t>
      </w:r>
      <w:r w:rsidRPr="008B0A35">
        <w:rPr>
          <w:rFonts w:ascii="Arial" w:hAnsi="Arial" w:cs="Arial"/>
          <w:sz w:val="20"/>
          <w:szCs w:val="20"/>
        </w:rPr>
        <w:t xml:space="preserve">na webové </w:t>
      </w:r>
      <w:r w:rsidRPr="009B76C1">
        <w:rPr>
          <w:rFonts w:ascii="Arial" w:hAnsi="Arial" w:cs="Arial"/>
          <w:sz w:val="20"/>
          <w:szCs w:val="20"/>
        </w:rPr>
        <w:t xml:space="preserve">adrese: </w:t>
      </w:r>
      <w:hyperlink r:id="rId13">
        <w:r w:rsidRPr="009B76C1">
          <w:rPr>
            <w:rFonts w:ascii="Arial" w:hAnsi="Arial" w:cs="Arial"/>
            <w:sz w:val="20"/>
            <w:szCs w:val="20"/>
          </w:rPr>
          <w:t>http://portal.uur.cz/</w:t>
        </w:r>
      </w:hyperlink>
      <w:r w:rsidRPr="009B76C1">
        <w:rPr>
          <w:rFonts w:ascii="Arial" w:hAnsi="Arial" w:cs="Arial"/>
          <w:sz w:val="20"/>
          <w:szCs w:val="20"/>
        </w:rPr>
        <w:t>.</w:t>
      </w:r>
    </w:p>
    <w:p w14:paraId="4C289F54" w14:textId="77777777" w:rsidR="00FF3CA8" w:rsidRPr="001A22FC" w:rsidRDefault="000D7311" w:rsidP="007F034C">
      <w:pPr>
        <w:pStyle w:val="Normlnweb"/>
        <w:spacing w:before="113" w:beforeAutospacing="0" w:after="340" w:afterAutospacing="0"/>
        <w:jc w:val="both"/>
        <w:rPr>
          <w:rFonts w:ascii="Arial" w:hAnsi="Arial" w:cs="Arial"/>
          <w:b/>
          <w:sz w:val="20"/>
          <w:szCs w:val="20"/>
        </w:rPr>
      </w:pPr>
      <w:r w:rsidRPr="001A22FC">
        <w:rPr>
          <w:rFonts w:ascii="Arial" w:hAnsi="Arial" w:cs="Arial"/>
          <w:b/>
          <w:sz w:val="20"/>
          <w:szCs w:val="20"/>
        </w:rPr>
        <w:t>Specifické oblasti nadmístního významu vymezené v ZÚR, viz grafický list 14.2. Seznam specifických oblastí nadmístního významu vymezených v ZÚR, viz přílohu č. 1.</w:t>
      </w:r>
    </w:p>
    <w:p w14:paraId="4D754377" w14:textId="77777777" w:rsidR="00FF3CA8" w:rsidRPr="008B0A35" w:rsidRDefault="000D7311">
      <w:pPr>
        <w:pStyle w:val="nadpisek3"/>
        <w:spacing w:before="340" w:after="227"/>
        <w:rPr>
          <w:color w:val="000099"/>
        </w:rPr>
      </w:pPr>
      <w:r w:rsidRPr="008B0A35">
        <w:rPr>
          <w:color w:val="000099"/>
        </w:rPr>
        <w:t>14.7</w:t>
      </w:r>
      <w:r w:rsidRPr="008B0A35">
        <w:rPr>
          <w:color w:val="000099"/>
        </w:rPr>
        <w:tab/>
        <w:t>Celostátně významné rozvojové plochy, koridory a územní rezervy dle</w:t>
      </w:r>
      <w:r w:rsidRPr="008B0A35">
        <w:rPr>
          <w:rFonts w:eastAsia="Times New Roman"/>
          <w:color w:val="000099"/>
          <w:szCs w:val="24"/>
          <w:lang w:eastAsia="cs-CZ"/>
        </w:rPr>
        <w:t> </w:t>
      </w:r>
      <w:r w:rsidRPr="008B0A35">
        <w:rPr>
          <w:color w:val="000099"/>
        </w:rPr>
        <w:t xml:space="preserve">ZÚR, </w:t>
      </w:r>
      <w:r w:rsidRPr="008B0A35">
        <w:rPr>
          <w:color w:val="000099"/>
        </w:rPr>
        <w:tab/>
        <w:t>včetně ÚSES (regionální, nadregionální).</w:t>
      </w:r>
    </w:p>
    <w:p w14:paraId="7D6A211B" w14:textId="77777777" w:rsidR="00146E39" w:rsidRDefault="000D7311">
      <w:pPr>
        <w:suppressAutoHyphens w:val="0"/>
        <w:spacing w:before="113" w:after="0"/>
        <w:rPr>
          <w:szCs w:val="20"/>
        </w:rPr>
      </w:pPr>
      <w:r w:rsidRPr="008B0A35">
        <w:rPr>
          <w:szCs w:val="20"/>
        </w:rPr>
        <w:t xml:space="preserve">Podle § 36 odst. 1 až 3 </w:t>
      </w:r>
      <w:r w:rsidRPr="008B0A35">
        <w:t xml:space="preserve">stavebního zákona </w:t>
      </w:r>
      <w:r w:rsidRPr="008B0A35">
        <w:rPr>
          <w:szCs w:val="20"/>
        </w:rPr>
        <w:t>ZÚR stanoví zejména základní požadavky na účelné a hospodárné uspořádání území kraje, vymezí plochy nebo koridory nadmístního významu a stanoví požadavky na jejich využití, zejména plochy nebo koridory pro veřejně prospěšné stavby, veřejně prospěšná opatření, stanoví kritéria pro rozhodování o možných variantách nebo alternativách změn v jejich využití. ZÚR mohou vymezit územní rezervu (tj.</w:t>
      </w:r>
      <w:r w:rsidR="007F034C">
        <w:rPr>
          <w:szCs w:val="20"/>
        </w:rPr>
        <w:t> </w:t>
      </w:r>
      <w:r w:rsidRPr="008B0A35">
        <w:rPr>
          <w:szCs w:val="20"/>
        </w:rPr>
        <w:t xml:space="preserve">plochu nebo koridor a stanovit jejich využití, jehož potřebu a plošné nároky je nutno prověřit) v níž </w:t>
      </w:r>
      <w:r w:rsidR="003062EE">
        <w:rPr>
          <w:szCs w:val="20"/>
        </w:rPr>
        <w:t xml:space="preserve">jsou </w:t>
      </w:r>
      <w:r w:rsidRPr="008B0A35">
        <w:rPr>
          <w:szCs w:val="20"/>
        </w:rPr>
        <w:t>zakázány</w:t>
      </w:r>
      <w:r w:rsidR="00735D44">
        <w:rPr>
          <w:szCs w:val="20"/>
        </w:rPr>
        <w:br/>
      </w:r>
    </w:p>
    <w:p w14:paraId="26A9FFED" w14:textId="5F0FD4F8" w:rsidR="00FF3CA8" w:rsidRPr="008B0A35" w:rsidRDefault="000D7311">
      <w:pPr>
        <w:suppressAutoHyphens w:val="0"/>
        <w:spacing w:before="113" w:after="0"/>
      </w:pPr>
      <w:r w:rsidRPr="008B0A35">
        <w:rPr>
          <w:szCs w:val="20"/>
        </w:rPr>
        <w:t>změny v území, které by mohly stanovené využití podstatně ztížit nebo znemožnit.</w:t>
      </w:r>
      <w:r w:rsidRPr="008B0A35">
        <w:t xml:space="preserve"> </w:t>
      </w:r>
      <w:r w:rsidRPr="008B0A35">
        <w:rPr>
          <w:szCs w:val="20"/>
        </w:rPr>
        <w:t>ZÚR mohou ve vybraných plochách nebo koridorech uložit prověření změn jejich využití územní studií a vymezit plochu nebo koridor, ve kterých je rozhodování o změnách v území podmíněno vydáním regulačního plánu.</w:t>
      </w:r>
      <w:r w:rsidRPr="008B0A35">
        <w:t xml:space="preserve"> </w:t>
      </w:r>
      <w:r w:rsidRPr="008B0A35">
        <w:rPr>
          <w:szCs w:val="20"/>
        </w:rPr>
        <w:t>ZÚR v nadmístních souvislostech území kraje zpřesňují a rozvíjejí cíle a úkoly územního plánování v souladu s PÚR a určují strategii pro jejich naplňování a koordinují územně plánovací činnost obcí.</w:t>
      </w:r>
    </w:p>
    <w:p w14:paraId="62CBFCD0" w14:textId="00F4D095" w:rsidR="00FF3CA8" w:rsidRPr="008B0A35" w:rsidRDefault="000D7311">
      <w:pPr>
        <w:pStyle w:val="Normlnweb"/>
        <w:spacing w:before="113" w:beforeAutospacing="0" w:after="0" w:afterAutospacing="0"/>
        <w:jc w:val="both"/>
      </w:pPr>
      <w:r w:rsidRPr="008B0A35">
        <w:rPr>
          <w:rFonts w:ascii="Arial" w:hAnsi="Arial" w:cs="Arial"/>
          <w:sz w:val="20"/>
          <w:szCs w:val="20"/>
        </w:rPr>
        <w:t xml:space="preserve">Zásady územního rozvoje jednotlivých krajů vymezují celostátně významné rozvojové plochy, koridory a územní </w:t>
      </w:r>
      <w:r w:rsidRPr="001232DB">
        <w:rPr>
          <w:rFonts w:ascii="Arial" w:eastAsia="Calibri" w:hAnsi="Arial"/>
          <w:sz w:val="20"/>
          <w:szCs w:val="20"/>
          <w:lang w:eastAsia="en-US"/>
        </w:rPr>
        <w:t>rezervy, mj. zejm</w:t>
      </w:r>
      <w:r w:rsidR="00B707AD">
        <w:rPr>
          <w:rFonts w:ascii="Arial" w:eastAsia="Calibri" w:hAnsi="Arial"/>
          <w:sz w:val="20"/>
          <w:szCs w:val="20"/>
          <w:lang w:eastAsia="en-US"/>
        </w:rPr>
        <w:t>éna</w:t>
      </w:r>
      <w:r w:rsidRPr="001232DB">
        <w:rPr>
          <w:rFonts w:ascii="Arial" w:eastAsia="Calibri" w:hAnsi="Arial"/>
          <w:sz w:val="20"/>
          <w:szCs w:val="20"/>
          <w:lang w:eastAsia="en-US"/>
        </w:rPr>
        <w:t xml:space="preserve"> pro dopravní a technickou infrastrukturu a územní systém ekologické stability, ty jsou proto v ÚAP ČR sledovány. Zásady územního rozvoje jsou přístupné například z internetových stránek Informačního webu územního plánování ÚÚR na</w:t>
      </w:r>
      <w:r w:rsidRPr="008B0A35">
        <w:rPr>
          <w:rFonts w:ascii="Arial" w:hAnsi="Arial" w:cs="Arial"/>
          <w:sz w:val="20"/>
          <w:szCs w:val="20"/>
        </w:rPr>
        <w:t xml:space="preserve"> webové adrese</w:t>
      </w:r>
      <w:r w:rsidRPr="00B90CCA">
        <w:rPr>
          <w:rFonts w:ascii="Arial" w:hAnsi="Arial" w:cs="Arial"/>
          <w:sz w:val="20"/>
          <w:szCs w:val="20"/>
        </w:rPr>
        <w:t>:</w:t>
      </w:r>
      <w:r w:rsidR="00B90CCA" w:rsidRPr="00B90CCA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="00B90CCA" w:rsidRPr="00B90CCA">
          <w:rPr>
            <w:rStyle w:val="Hypertextovodkaz"/>
            <w:rFonts w:ascii="Arial" w:hAnsi="Arial" w:cs="Arial"/>
            <w:color w:val="auto"/>
            <w:sz w:val="20"/>
            <w:szCs w:val="20"/>
          </w:rPr>
          <w:t>http://portal.uur.cz/</w:t>
        </w:r>
      </w:hyperlink>
      <w:r w:rsidRPr="00B90CCA">
        <w:rPr>
          <w:rFonts w:ascii="Arial" w:hAnsi="Arial" w:cs="Arial"/>
          <w:sz w:val="20"/>
          <w:szCs w:val="20"/>
        </w:rPr>
        <w:t>.</w:t>
      </w:r>
    </w:p>
    <w:p w14:paraId="46AEAFF9" w14:textId="77777777" w:rsidR="00FF3CA8" w:rsidRPr="008B0A35" w:rsidRDefault="000D7311">
      <w:pPr>
        <w:spacing w:before="113" w:after="0"/>
      </w:pPr>
      <w:r w:rsidRPr="008B0A35">
        <w:rPr>
          <w:rFonts w:cs="Arial"/>
          <w:b/>
          <w:szCs w:val="20"/>
        </w:rPr>
        <w:t>Výše uvedené je zobrazeno v grafických listech:</w:t>
      </w:r>
    </w:p>
    <w:p w14:paraId="36A1B953" w14:textId="77777777" w:rsidR="00FF3CA8" w:rsidRPr="008B0A35" w:rsidRDefault="000D7311">
      <w:pPr>
        <w:suppressAutoHyphens w:val="0"/>
        <w:spacing w:before="113" w:after="0"/>
      </w:pPr>
      <w:r w:rsidRPr="008B0A35">
        <w:rPr>
          <w:rFonts w:cs="Arial"/>
          <w:b/>
          <w:color w:val="000000" w:themeColor="text1"/>
          <w:szCs w:val="20"/>
        </w:rPr>
        <w:t>14. 3. Dopravní infrastruktura – celostátně významné rozvojové plochy, koridory a územní rezervy dle ZÚR, 14. 4.  Technická infrastruktura – celostátně významné rozvojové plochy, koridory a územní rezervy dle ZÚR a 14. 5. Územní systém ekologické stability (regionální i nadregionální).</w:t>
      </w:r>
    </w:p>
    <w:p w14:paraId="754F8522" w14:textId="77777777" w:rsidR="00FF3CA8" w:rsidRPr="008B0A35" w:rsidRDefault="000D7311">
      <w:pPr>
        <w:widowControl w:val="0"/>
        <w:shd w:val="clear" w:color="auto" w:fill="D9D9D9" w:themeFill="background1" w:themeFillShade="D9"/>
        <w:spacing w:before="454" w:after="340"/>
        <w:jc w:val="center"/>
        <w:rPr>
          <w:b/>
          <w:color w:val="000099"/>
          <w:sz w:val="24"/>
          <w:szCs w:val="24"/>
        </w:rPr>
      </w:pPr>
      <w:r w:rsidRPr="008B0A35">
        <w:rPr>
          <w:b/>
          <w:color w:val="000099"/>
          <w:sz w:val="24"/>
          <w:szCs w:val="24"/>
          <w:shd w:val="clear" w:color="auto" w:fill="D9D9D9"/>
        </w:rPr>
        <w:t xml:space="preserve">III. Závěrečný souhrn </w:t>
      </w:r>
    </w:p>
    <w:p w14:paraId="06B35D58" w14:textId="77777777" w:rsidR="00FF3CA8" w:rsidRPr="008B0A35" w:rsidRDefault="000D7311">
      <w:pPr>
        <w:spacing w:before="113" w:after="0"/>
      </w:pPr>
      <w:r w:rsidRPr="008B0A35">
        <w:rPr>
          <w:rFonts w:eastAsiaTheme="majorEastAsia" w:cstheme="majorBidi"/>
          <w:b/>
          <w:bCs/>
          <w:color w:val="000099"/>
          <w:szCs w:val="20"/>
        </w:rPr>
        <w:t>Rozvojové oblasti a rozvojové osy</w:t>
      </w:r>
    </w:p>
    <w:p w14:paraId="2A10B357" w14:textId="77777777" w:rsidR="00FF3CA8" w:rsidRPr="008B0A35" w:rsidRDefault="000D7311">
      <w:pPr>
        <w:pStyle w:val="nadpisek3"/>
        <w:spacing w:before="113" w:after="0"/>
        <w:jc w:val="both"/>
        <w:rPr>
          <w:rFonts w:eastAsia="Times New Roman" w:cs="Arial"/>
          <w:bCs w:val="0"/>
          <w:sz w:val="20"/>
          <w:szCs w:val="20"/>
          <w:lang w:eastAsia="cs-CZ"/>
        </w:rPr>
      </w:pPr>
      <w:r w:rsidRPr="008B0A35">
        <w:rPr>
          <w:rFonts w:eastAsia="Times New Roman" w:cs="Arial"/>
          <w:bCs w:val="0"/>
          <w:sz w:val="20"/>
          <w:szCs w:val="20"/>
          <w:lang w:eastAsia="cs-CZ"/>
        </w:rPr>
        <w:t>Problémy z hlediska územního plánování</w:t>
      </w:r>
    </w:p>
    <w:p w14:paraId="5DBCD730" w14:textId="77777777" w:rsidR="00FF3CA8" w:rsidRPr="008B0A35" w:rsidRDefault="000D7311">
      <w:pPr>
        <w:spacing w:before="113" w:after="0"/>
      </w:pPr>
      <w:r w:rsidRPr="008B0A35">
        <w:rPr>
          <w:rFonts w:cs="Arial"/>
          <w:szCs w:val="20"/>
        </w:rPr>
        <w:t>Při upřesňování rozvojových oblastí a os celostátního významu vymezených v PÚR a při vymezování rozvojových oblastí a os nadregionálního významu je možno vysledovat ne zcela jednotný přístup jednotlivých krajů.</w:t>
      </w:r>
    </w:p>
    <w:p w14:paraId="30982A53" w14:textId="77777777" w:rsidR="00FF3CA8" w:rsidRPr="008B0A35" w:rsidRDefault="000D7311">
      <w:pPr>
        <w:spacing w:before="113" w:after="0"/>
      </w:pPr>
      <w:r w:rsidRPr="008B0A35">
        <w:rPr>
          <w:rFonts w:cs="Arial"/>
          <w:szCs w:val="20"/>
        </w:rPr>
        <w:t>V jednotlivých sousedních zemích je poněkud jiný metodický přistup vymezování rozvojových oblastí a rozvojových os a jiná je i jejich kategorizace.</w:t>
      </w:r>
    </w:p>
    <w:p w14:paraId="589C7C7B" w14:textId="470E1C57" w:rsidR="00FF3CA8" w:rsidRPr="008B0A35" w:rsidRDefault="00B90CCA">
      <w:pPr>
        <w:spacing w:before="113" w:after="0"/>
      </w:pPr>
      <w:r w:rsidRPr="008B0A35">
        <w:rPr>
          <w:rFonts w:cs="Arial"/>
          <w:szCs w:val="20"/>
        </w:rPr>
        <w:t>Z porovnání příslušných dokumentů sousedních států a ČR</w:t>
      </w:r>
      <w:r w:rsidR="00985513" w:rsidRPr="00985513">
        <w:rPr>
          <w:rFonts w:cs="Arial"/>
          <w:szCs w:val="20"/>
        </w:rPr>
        <w:t xml:space="preserve"> </w:t>
      </w:r>
      <w:r w:rsidR="00985513" w:rsidRPr="008B0A35">
        <w:rPr>
          <w:rFonts w:cs="Arial"/>
          <w:szCs w:val="20"/>
        </w:rPr>
        <w:t xml:space="preserve">dochází </w:t>
      </w:r>
      <w:r w:rsidR="00985513">
        <w:rPr>
          <w:rFonts w:cs="Arial"/>
          <w:szCs w:val="20"/>
        </w:rPr>
        <w:t>v</w:t>
      </w:r>
      <w:r w:rsidR="000D7311" w:rsidRPr="008B0A35">
        <w:rPr>
          <w:rFonts w:cs="Arial"/>
          <w:szCs w:val="20"/>
        </w:rPr>
        <w:t xml:space="preserve"> případě rozvojových os k několika nenávaznostem na hranicích s jednotlivými sousedními státy, která je dána absencí rozvojové osy na jedné straně státní hranice, případně střetáváním různých kategorií os na státních hranicích. </w:t>
      </w:r>
    </w:p>
    <w:p w14:paraId="06605BB8" w14:textId="77777777" w:rsidR="00FF3CA8" w:rsidRPr="008B0A35" w:rsidRDefault="000D7311">
      <w:pPr>
        <w:pStyle w:val="nadpisek3"/>
        <w:spacing w:before="113" w:after="0"/>
        <w:jc w:val="both"/>
      </w:pPr>
      <w:r w:rsidRPr="008B0A35">
        <w:rPr>
          <w:rFonts w:eastAsia="Times New Roman" w:cs="Arial"/>
          <w:bCs w:val="0"/>
          <w:sz w:val="20"/>
          <w:szCs w:val="20"/>
          <w:lang w:eastAsia="cs-CZ"/>
        </w:rPr>
        <w:t>Náměty z hlediska územního plánování</w:t>
      </w:r>
    </w:p>
    <w:p w14:paraId="39AB5DF0" w14:textId="77777777" w:rsidR="00FF3CA8" w:rsidRPr="008B0A35" w:rsidRDefault="000D7311">
      <w:pPr>
        <w:spacing w:before="113" w:after="0"/>
      </w:pPr>
      <w:r w:rsidRPr="008B0A35">
        <w:rPr>
          <w:rFonts w:cs="Arial"/>
          <w:szCs w:val="20"/>
        </w:rPr>
        <w:t>V PÚR ČR a v ZÚR a v jejich aktualizacích je třeba podle konkrétních podmínek a možností území zohledňovat při vymezení rozvojových oblastí Strategii regionálního rozvoje ČR.</w:t>
      </w:r>
    </w:p>
    <w:p w14:paraId="7E3F8D96" w14:textId="77777777" w:rsidR="00FF3CA8" w:rsidRPr="008B0A35" w:rsidRDefault="000D7311">
      <w:pPr>
        <w:spacing w:before="113" w:after="0"/>
      </w:pPr>
      <w:r w:rsidRPr="008B0A35">
        <w:rPr>
          <w:rFonts w:cs="Arial"/>
          <w:szCs w:val="20"/>
        </w:rPr>
        <w:t>Při vymezování rozvojových os v PÚR ČR a v ZÚR a v jejich aktualizacích je třeba zohledňovat návaznost na odpovídající rozvojové osy vymezené v příslušných územně plánovacích dokumentech sousedních států.</w:t>
      </w:r>
    </w:p>
    <w:p w14:paraId="6727A5AE" w14:textId="77777777" w:rsidR="00FF3CA8" w:rsidRPr="007028CF" w:rsidRDefault="000D7311">
      <w:pPr>
        <w:spacing w:before="113" w:after="0"/>
        <w:rPr>
          <w:spacing w:val="-1"/>
        </w:rPr>
      </w:pPr>
      <w:r w:rsidRPr="007028CF">
        <w:rPr>
          <w:rFonts w:cs="Arial"/>
          <w:spacing w:val="-1"/>
          <w:szCs w:val="20"/>
        </w:rPr>
        <w:t>Lze doporučit postupné sjednocování přístupů jednotlivých krajů k upřesňování rozvojových oblastí a os celostátního významu vymezených v PÚR a při vymezování rozvojových oblastí a os nadregionálního významu v ZÚR.</w:t>
      </w:r>
    </w:p>
    <w:p w14:paraId="770BFD84" w14:textId="22D7F616" w:rsidR="00FF3CA8" w:rsidRPr="007028CF" w:rsidRDefault="000D7311">
      <w:pPr>
        <w:spacing w:before="113" w:after="0"/>
        <w:rPr>
          <w:spacing w:val="4"/>
        </w:rPr>
      </w:pPr>
      <w:r w:rsidRPr="007028CF">
        <w:rPr>
          <w:rFonts w:cs="Arial"/>
          <w:spacing w:val="4"/>
          <w:szCs w:val="20"/>
        </w:rPr>
        <w:t>Dle možností respektovat v rámci ZÚR navržené vymezení center osídlení vyššího řádu v kategorii vyšší a</w:t>
      </w:r>
      <w:r w:rsidR="007028CF">
        <w:rPr>
          <w:rFonts w:cs="Arial"/>
          <w:spacing w:val="4"/>
          <w:szCs w:val="20"/>
        </w:rPr>
        <w:t> </w:t>
      </w:r>
      <w:r w:rsidRPr="007028CF">
        <w:rPr>
          <w:rFonts w:cs="Arial"/>
          <w:spacing w:val="4"/>
          <w:szCs w:val="20"/>
        </w:rPr>
        <w:t>střední centra.</w:t>
      </w:r>
    </w:p>
    <w:p w14:paraId="2209B414" w14:textId="77777777" w:rsidR="00FF3CA8" w:rsidRPr="008B0A35" w:rsidRDefault="000D7311" w:rsidP="0090428B">
      <w:pPr>
        <w:spacing w:before="113" w:after="0"/>
      </w:pPr>
      <w:r w:rsidRPr="008B0A35">
        <w:rPr>
          <w:rFonts w:eastAsiaTheme="majorEastAsia" w:cstheme="majorBidi"/>
          <w:b/>
          <w:bCs/>
          <w:color w:val="000099"/>
          <w:szCs w:val="20"/>
        </w:rPr>
        <w:t>Specifické oblasti republikového a nadmístního významu</w:t>
      </w:r>
    </w:p>
    <w:p w14:paraId="694E384F" w14:textId="77777777" w:rsidR="00FF3CA8" w:rsidRPr="008B0A35" w:rsidRDefault="000D7311">
      <w:pPr>
        <w:pStyle w:val="nadpisek3"/>
        <w:spacing w:before="113" w:after="0"/>
        <w:jc w:val="both"/>
        <w:rPr>
          <w:shd w:val="clear" w:color="auto" w:fill="FFFF00"/>
        </w:rPr>
      </w:pPr>
      <w:r w:rsidRPr="00023A8E">
        <w:rPr>
          <w:rFonts w:eastAsia="Times New Roman" w:cs="Arial"/>
          <w:bCs w:val="0"/>
          <w:sz w:val="20"/>
          <w:szCs w:val="20"/>
          <w:lang w:eastAsia="cs-CZ"/>
        </w:rPr>
        <w:t>Problémy z hlediska územního plánování</w:t>
      </w:r>
      <w:r w:rsidRPr="008B0A35">
        <w:rPr>
          <w:rFonts w:eastAsia="Times New Roman" w:cs="Arial"/>
          <w:bCs w:val="0"/>
          <w:sz w:val="20"/>
          <w:szCs w:val="20"/>
          <w:shd w:val="clear" w:color="auto" w:fill="FFFF00"/>
          <w:lang w:eastAsia="cs-CZ"/>
        </w:rPr>
        <w:t xml:space="preserve">  </w:t>
      </w:r>
    </w:p>
    <w:p w14:paraId="78D30EC1" w14:textId="4882CA8F" w:rsidR="00FF3CA8" w:rsidRPr="00023A8E" w:rsidRDefault="000D7311">
      <w:pPr>
        <w:pStyle w:val="Normlnweb"/>
        <w:spacing w:before="113" w:beforeAutospacing="0" w:after="0" w:afterAutospacing="0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23A8E">
        <w:rPr>
          <w:rFonts w:ascii="Arial" w:eastAsia="Calibri" w:hAnsi="Arial" w:cs="Arial"/>
          <w:sz w:val="20"/>
          <w:szCs w:val="20"/>
          <w:lang w:eastAsia="en-US"/>
        </w:rPr>
        <w:t>V zásadě jsou užívány dva přístupy k vymezování SOB: matematické, vycházející ze zpracování měřitelných údajů o území (mj. závislé na zvolených kritériích a systému hodnocení) a empirické, vycházející ze znalosti území (mj.</w:t>
      </w:r>
      <w:r w:rsidR="00730DA6">
        <w:rPr>
          <w:rFonts w:ascii="Arial" w:eastAsia="Calibri" w:hAnsi="Arial" w:cs="Arial"/>
          <w:sz w:val="20"/>
          <w:szCs w:val="20"/>
          <w:lang w:eastAsia="en-US"/>
        </w:rPr>
        <w:t> </w:t>
      </w:r>
      <w:r w:rsidRPr="00023A8E">
        <w:rPr>
          <w:rFonts w:ascii="Arial" w:eastAsia="Calibri" w:hAnsi="Arial" w:cs="Arial"/>
          <w:sz w:val="20"/>
          <w:szCs w:val="20"/>
          <w:lang w:eastAsia="en-US"/>
        </w:rPr>
        <w:t xml:space="preserve">závislé na znalostech a objektivitě hodnotitele), nebo kombinace obou. Méně využíván je názor obyvatel území. Důvodem </w:t>
      </w:r>
      <w:r w:rsidRPr="00EB386E">
        <w:rPr>
          <w:rFonts w:ascii="Arial" w:eastAsia="Calibri" w:hAnsi="Arial" w:cs="Arial"/>
          <w:sz w:val="20"/>
          <w:szCs w:val="20"/>
          <w:lang w:eastAsia="en-US"/>
        </w:rPr>
        <w:t>vymezení je mj. např</w:t>
      </w:r>
      <w:r w:rsidR="00985513" w:rsidRPr="00EB386E">
        <w:rPr>
          <w:rFonts w:ascii="Arial" w:eastAsia="Calibri" w:hAnsi="Arial" w:cs="Arial"/>
          <w:sz w:val="20"/>
          <w:szCs w:val="20"/>
          <w:lang w:eastAsia="en-US"/>
        </w:rPr>
        <w:t>íklad</w:t>
      </w:r>
      <w:r w:rsidRPr="00023A8E">
        <w:rPr>
          <w:rFonts w:ascii="Arial" w:eastAsia="Calibri" w:hAnsi="Arial" w:cs="Arial"/>
          <w:sz w:val="20"/>
          <w:szCs w:val="20"/>
          <w:lang w:eastAsia="en-US"/>
        </w:rPr>
        <w:t xml:space="preserve"> převládají</w:t>
      </w:r>
      <w:r w:rsidR="0002400B">
        <w:rPr>
          <w:rFonts w:ascii="Arial" w:eastAsia="Calibri" w:hAnsi="Arial" w:cs="Arial"/>
          <w:sz w:val="20"/>
          <w:szCs w:val="20"/>
          <w:lang w:eastAsia="en-US"/>
        </w:rPr>
        <w:t>cí</w:t>
      </w:r>
      <w:r w:rsidRPr="00023A8E">
        <w:rPr>
          <w:rFonts w:ascii="Arial" w:eastAsia="Calibri" w:hAnsi="Arial" w:cs="Arial"/>
          <w:sz w:val="20"/>
          <w:szCs w:val="20"/>
          <w:lang w:eastAsia="en-US"/>
        </w:rPr>
        <w:t xml:space="preserve"> charakter, funkce či využití území (periferní území, lázeňství, cestovní ruch, rekreace, ochrana a využití přírodních zdrojů, intenzivní zemědělství, ochrana přírody a krajiny, střety funkcí a zájmů apod.). Přístup jednotlivých krajů k</w:t>
      </w:r>
      <w:r w:rsidR="0002400B">
        <w:rPr>
          <w:rFonts w:ascii="Arial" w:eastAsia="Calibri" w:hAnsi="Arial" w:cs="Arial"/>
          <w:sz w:val="20"/>
          <w:szCs w:val="20"/>
          <w:lang w:eastAsia="en-US"/>
        </w:rPr>
        <w:t> </w:t>
      </w:r>
      <w:r w:rsidRPr="00023A8E">
        <w:rPr>
          <w:rFonts w:ascii="Arial" w:eastAsia="Calibri" w:hAnsi="Arial" w:cs="Arial"/>
          <w:sz w:val="20"/>
          <w:szCs w:val="20"/>
          <w:lang w:eastAsia="en-US"/>
        </w:rPr>
        <w:t xml:space="preserve">vymezování SOB není však zcela jednotný. </w:t>
      </w:r>
    </w:p>
    <w:p w14:paraId="53E9FD12" w14:textId="243379AC" w:rsidR="00FF3CA8" w:rsidRPr="008B0A35" w:rsidRDefault="000D7311" w:rsidP="0002400B">
      <w:pPr>
        <w:spacing w:before="113" w:after="360"/>
        <w:rPr>
          <w:shd w:val="clear" w:color="auto" w:fill="FFFF00"/>
        </w:rPr>
      </w:pPr>
      <w:r w:rsidRPr="00023A8E">
        <w:rPr>
          <w:rFonts w:cs="Arial"/>
          <w:szCs w:val="20"/>
        </w:rPr>
        <w:t xml:space="preserve">Hlavním problémem je </w:t>
      </w:r>
      <w:r w:rsidR="0002400B">
        <w:rPr>
          <w:rFonts w:cs="Arial"/>
          <w:szCs w:val="20"/>
        </w:rPr>
        <w:t>nalezení</w:t>
      </w:r>
      <w:r w:rsidR="0002400B" w:rsidRPr="00023A8E">
        <w:rPr>
          <w:rFonts w:cs="Arial"/>
          <w:szCs w:val="20"/>
        </w:rPr>
        <w:t xml:space="preserve"> </w:t>
      </w:r>
      <w:r w:rsidRPr="00023A8E">
        <w:rPr>
          <w:rFonts w:cs="Arial"/>
          <w:szCs w:val="20"/>
        </w:rPr>
        <w:t>co nejobjektivnější</w:t>
      </w:r>
      <w:r w:rsidR="0002400B">
        <w:rPr>
          <w:rFonts w:cs="Arial"/>
          <w:szCs w:val="20"/>
        </w:rPr>
        <w:t>ho</w:t>
      </w:r>
      <w:r w:rsidRPr="00023A8E">
        <w:rPr>
          <w:rFonts w:cs="Arial"/>
          <w:szCs w:val="20"/>
        </w:rPr>
        <w:t xml:space="preserve"> a pokud možno jednotn</w:t>
      </w:r>
      <w:r w:rsidR="0002400B">
        <w:rPr>
          <w:rFonts w:cs="Arial"/>
          <w:szCs w:val="20"/>
        </w:rPr>
        <w:t>ého</w:t>
      </w:r>
      <w:r w:rsidRPr="00023A8E">
        <w:rPr>
          <w:rFonts w:cs="Arial"/>
          <w:szCs w:val="20"/>
        </w:rPr>
        <w:t xml:space="preserve"> způsob</w:t>
      </w:r>
      <w:r w:rsidR="00730DA6">
        <w:rPr>
          <w:rFonts w:cs="Arial"/>
          <w:szCs w:val="20"/>
        </w:rPr>
        <w:t>u</w:t>
      </w:r>
      <w:r w:rsidRPr="00023A8E">
        <w:rPr>
          <w:rFonts w:cs="Arial"/>
          <w:szCs w:val="20"/>
        </w:rPr>
        <w:t xml:space="preserve"> vymezování SOB. Stávající přístupy často činí problémy jak při vymezování SOB, tak i při stanovování úkolů pro územní plánování a</w:t>
      </w:r>
      <w:r w:rsidR="00730DA6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plynou mj. z</w:t>
      </w:r>
      <w:r w:rsidR="0002400B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přílišné svázanosti s</w:t>
      </w:r>
      <w:r w:rsidR="0002400B">
        <w:rPr>
          <w:rFonts w:cs="Arial"/>
          <w:szCs w:val="20"/>
        </w:rPr>
        <w:t xml:space="preserve"> </w:t>
      </w:r>
      <w:r w:rsidRPr="00023A8E">
        <w:rPr>
          <w:rFonts w:cs="Arial"/>
          <w:szCs w:val="20"/>
        </w:rPr>
        <w:t>hodnocením udržitelného rozvoje území, často obecně pojatým a tím obtížně uchopitelným</w:t>
      </w:r>
      <w:r w:rsidR="0002400B">
        <w:rPr>
          <w:rFonts w:cs="Arial"/>
          <w:szCs w:val="20"/>
        </w:rPr>
        <w:t>,</w:t>
      </w:r>
      <w:r w:rsidRPr="00023A8E">
        <w:rPr>
          <w:rFonts w:cs="Arial"/>
          <w:szCs w:val="20"/>
        </w:rPr>
        <w:t xml:space="preserve"> a</w:t>
      </w:r>
      <w:r w:rsidR="007028CF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z</w:t>
      </w:r>
      <w:r w:rsidR="007028CF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matematických přístupů, chápaných jako primární indikátory problému.</w:t>
      </w:r>
      <w:r w:rsidRPr="008B0A35">
        <w:rPr>
          <w:rFonts w:cs="Arial"/>
          <w:szCs w:val="20"/>
          <w:shd w:val="clear" w:color="auto" w:fill="FFFF00"/>
        </w:rPr>
        <w:t xml:space="preserve"> </w:t>
      </w:r>
    </w:p>
    <w:p w14:paraId="529E7839" w14:textId="77777777" w:rsidR="00FF3CA8" w:rsidRPr="008B0A35" w:rsidRDefault="000D7311">
      <w:pPr>
        <w:pStyle w:val="nadpisek3"/>
        <w:spacing w:before="113" w:after="0"/>
        <w:jc w:val="both"/>
      </w:pPr>
      <w:r w:rsidRPr="008B0A35">
        <w:rPr>
          <w:rFonts w:eastAsia="Times New Roman" w:cs="Arial"/>
          <w:bCs w:val="0"/>
          <w:sz w:val="20"/>
          <w:szCs w:val="20"/>
          <w:lang w:eastAsia="cs-CZ"/>
        </w:rPr>
        <w:lastRenderedPageBreak/>
        <w:t xml:space="preserve">Náměty z hlediska územního plánování  </w:t>
      </w:r>
    </w:p>
    <w:p w14:paraId="247716FF" w14:textId="65CF7F25" w:rsidR="00FF3CA8" w:rsidRPr="00023A8E" w:rsidRDefault="000D7311">
      <w:pPr>
        <w:spacing w:before="113" w:after="0"/>
        <w:rPr>
          <w:rFonts w:cs="Arial"/>
          <w:szCs w:val="20"/>
        </w:rPr>
      </w:pPr>
      <w:r w:rsidRPr="00023A8E">
        <w:rPr>
          <w:rFonts w:cs="Arial"/>
          <w:szCs w:val="20"/>
        </w:rPr>
        <w:t>Nejvhodnějším způsobem hodnocení je patrně kombinace uvedených metod. Matematické metody mohou sloužit k</w:t>
      </w:r>
      <w:r w:rsidR="007028CF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ověření empirických zjištění a názorů obyvatel, či naopak výsledek exaktního hodnocení lze ověřit průzkumem území a názorů veřejnosti. Závěrem hodnocení vždy musí být stanovení závažnosti problému, jeho územního rozsahu, zjištění</w:t>
      </w:r>
      <w:r w:rsidR="00023A8E">
        <w:rPr>
          <w:rFonts w:cs="Arial"/>
          <w:szCs w:val="20"/>
        </w:rPr>
        <w:t>,</w:t>
      </w:r>
      <w:r w:rsidRPr="00023A8E">
        <w:rPr>
          <w:rFonts w:cs="Arial"/>
          <w:szCs w:val="20"/>
        </w:rPr>
        <w:t xml:space="preserve"> jak je problematika vnímána veřejností a posouzení, zda a jak je možno k řešení přispět prostředky územního plánování. </w:t>
      </w:r>
    </w:p>
    <w:p w14:paraId="07BA0AE2" w14:textId="644D891A" w:rsidR="00FF3CA8" w:rsidRPr="00023A8E" w:rsidRDefault="000D7311">
      <w:pPr>
        <w:spacing w:before="113" w:after="0"/>
        <w:rPr>
          <w:rFonts w:cs="Arial"/>
          <w:szCs w:val="20"/>
        </w:rPr>
      </w:pPr>
      <w:r w:rsidRPr="00023A8E">
        <w:rPr>
          <w:rFonts w:cs="Arial"/>
          <w:szCs w:val="20"/>
        </w:rPr>
        <w:t xml:space="preserve">Při vymezování SOB by se měl více uplatňovat přístup, ne tak zásadně vázaný na hodnocení udržitelného rozvoje, ale více odpovídající reálnému stavu území, vycházející </w:t>
      </w:r>
      <w:r w:rsidR="00985513">
        <w:rPr>
          <w:rFonts w:cs="Arial"/>
          <w:szCs w:val="20"/>
        </w:rPr>
        <w:t>hlavně</w:t>
      </w:r>
      <w:r w:rsidRPr="00023A8E">
        <w:rPr>
          <w:rFonts w:cs="Arial"/>
          <w:szCs w:val="20"/>
        </w:rPr>
        <w:t xml:space="preserve"> ze zjištění konkrétních problémů a názorů odborné </w:t>
      </w:r>
      <w:r w:rsidRPr="007028CF">
        <w:t>i</w:t>
      </w:r>
      <w:r w:rsidR="007028CF">
        <w:t> </w:t>
      </w:r>
      <w:r w:rsidRPr="007028CF">
        <w:t>laické</w:t>
      </w:r>
      <w:r w:rsidRPr="00023A8E">
        <w:rPr>
          <w:rFonts w:cs="Arial"/>
          <w:szCs w:val="20"/>
        </w:rPr>
        <w:t xml:space="preserve"> </w:t>
      </w:r>
      <w:r w:rsidRPr="00EB386E">
        <w:rPr>
          <w:rFonts w:cs="Arial"/>
          <w:szCs w:val="20"/>
        </w:rPr>
        <w:t>veřejnosti, zejm. obyvatel</w:t>
      </w:r>
      <w:r w:rsidRPr="00023A8E">
        <w:rPr>
          <w:rFonts w:cs="Arial"/>
          <w:szCs w:val="20"/>
        </w:rPr>
        <w:t xml:space="preserve"> území, kteří by měli obecně vnímat potřebu daný problém řešit, přičemž řešení musí být v možnostech územního plánování</w:t>
      </w:r>
      <w:r w:rsidR="00023A8E">
        <w:rPr>
          <w:rFonts w:cs="Arial"/>
          <w:szCs w:val="20"/>
        </w:rPr>
        <w:t>,</w:t>
      </w:r>
      <w:r w:rsidRPr="00023A8E">
        <w:rPr>
          <w:rFonts w:cs="Arial"/>
          <w:szCs w:val="20"/>
        </w:rPr>
        <w:t xml:space="preserve"> aby bylo možno stanovit reálné úkoly pro územní plánování. Bez</w:t>
      </w:r>
      <w:r w:rsidR="007028CF">
        <w:rPr>
          <w:rFonts w:cs="Arial"/>
          <w:szCs w:val="20"/>
        </w:rPr>
        <w:t> </w:t>
      </w:r>
      <w:r w:rsidRPr="00023A8E">
        <w:rPr>
          <w:rFonts w:cs="Arial"/>
          <w:szCs w:val="20"/>
        </w:rPr>
        <w:t>splnění výše uvedených předpokladů je vymezení specifické oblasti neúčelné.</w:t>
      </w:r>
    </w:p>
    <w:p w14:paraId="07403634" w14:textId="77777777" w:rsidR="00FF3CA8" w:rsidRPr="00023A8E" w:rsidRDefault="000D7311">
      <w:pPr>
        <w:spacing w:before="113" w:after="0"/>
        <w:rPr>
          <w:rFonts w:cs="Arial"/>
          <w:szCs w:val="20"/>
        </w:rPr>
      </w:pPr>
      <w:r w:rsidRPr="00023A8E">
        <w:rPr>
          <w:rFonts w:cs="Arial"/>
          <w:szCs w:val="20"/>
        </w:rPr>
        <w:t>Obdobně jako u rozvojových oblastí a os lze doporučit i postupné sjednocování přístupů krajů k upřesňování republikových SOB vymezených v PÚR a při vymezování SOB nadmístního významu v ZÚR.</w:t>
      </w:r>
    </w:p>
    <w:p w14:paraId="456C21E9" w14:textId="77777777" w:rsidR="00FF3CA8" w:rsidRPr="00023A8E" w:rsidRDefault="000D7311" w:rsidP="000E1BA4">
      <w:pPr>
        <w:spacing w:before="240" w:after="0"/>
        <w:rPr>
          <w:rFonts w:eastAsiaTheme="majorEastAsia" w:cstheme="majorBidi"/>
          <w:b/>
          <w:bCs/>
          <w:color w:val="000099"/>
          <w:szCs w:val="20"/>
        </w:rPr>
      </w:pPr>
      <w:r w:rsidRPr="00023A8E">
        <w:rPr>
          <w:rFonts w:eastAsiaTheme="majorEastAsia" w:cstheme="majorBidi"/>
          <w:b/>
          <w:bCs/>
          <w:color w:val="000099"/>
          <w:szCs w:val="20"/>
        </w:rPr>
        <w:t>Celostátně významné rozvojové plochy, koridory a územní rezervy dle ZÚR, včetně ÚSES</w:t>
      </w:r>
    </w:p>
    <w:p w14:paraId="605DCA40" w14:textId="0D91A269" w:rsidR="00FF3CA8" w:rsidRPr="00023A8E" w:rsidRDefault="000D7311">
      <w:pPr>
        <w:spacing w:before="113" w:after="0"/>
        <w:rPr>
          <w:rFonts w:cs="Arial"/>
          <w:szCs w:val="20"/>
        </w:rPr>
      </w:pPr>
      <w:r w:rsidRPr="00023A8E">
        <w:rPr>
          <w:rFonts w:cs="Arial"/>
          <w:szCs w:val="20"/>
        </w:rPr>
        <w:t>Problémy a náměty z hlediska územního plánování jsou součástí příslušných kapitol ÚAP ČR: kap. 05 Ochrana přírody a krajiny, kap. 10 Dopravní a</w:t>
      </w:r>
      <w:r w:rsidR="00E739D5">
        <w:rPr>
          <w:rFonts w:cs="Arial"/>
          <w:szCs w:val="20"/>
        </w:rPr>
        <w:t xml:space="preserve"> </w:t>
      </w:r>
      <w:r w:rsidRPr="00023A8E">
        <w:rPr>
          <w:rFonts w:cs="Arial"/>
          <w:szCs w:val="20"/>
        </w:rPr>
        <w:t>technická infrastruktura.</w:t>
      </w:r>
    </w:p>
    <w:p w14:paraId="58177F6D" w14:textId="77777777" w:rsidR="00FF3CA8" w:rsidRPr="008B0A35" w:rsidRDefault="000D7311">
      <w:pPr>
        <w:pStyle w:val="nadpisek3"/>
        <w:shd w:val="clear" w:color="auto" w:fill="D9D9D9" w:themeFill="background1" w:themeFillShade="D9"/>
        <w:spacing w:before="454" w:after="340"/>
        <w:jc w:val="center"/>
        <w:rPr>
          <w:color w:val="000099"/>
        </w:rPr>
      </w:pPr>
      <w:r w:rsidRPr="008B0A35">
        <w:rPr>
          <w:color w:val="000099"/>
        </w:rPr>
        <w:t>IV.</w:t>
      </w:r>
      <w:r w:rsidRPr="008B0A35">
        <w:rPr>
          <w:color w:val="000099"/>
        </w:rPr>
        <w:tab/>
        <w:t xml:space="preserve">Právní rámec, zákony a vyhlášky </w:t>
      </w:r>
    </w:p>
    <w:p w14:paraId="0F71D38B" w14:textId="2972609A" w:rsidR="009B76C1" w:rsidRDefault="000D7311" w:rsidP="009B76C1">
      <w:pPr>
        <w:pStyle w:val="Odstavecseseznamem"/>
        <w:numPr>
          <w:ilvl w:val="0"/>
          <w:numId w:val="1"/>
        </w:numPr>
        <w:suppressAutoHyphens w:val="0"/>
        <w:spacing w:before="113" w:after="0"/>
        <w:ind w:left="284" w:hanging="284"/>
        <w:rPr>
          <w:i/>
        </w:rPr>
      </w:pPr>
      <w:r w:rsidRPr="00F85767">
        <w:rPr>
          <w:rFonts w:cs="Arial"/>
          <w:szCs w:val="20"/>
        </w:rPr>
        <w:t xml:space="preserve">Zákon č. 183/2006 Sb., o územním plánování a stavebním řádu (stavební zákon), ve znění pozdějších předpisů. </w:t>
      </w:r>
      <w:r w:rsidRPr="009B76C1">
        <w:rPr>
          <w:i/>
        </w:rPr>
        <w:t>Zákon je v gesci Ministerstva pro místní rozvoj.</w:t>
      </w:r>
    </w:p>
    <w:p w14:paraId="23F0BD01" w14:textId="77777777" w:rsidR="009B76C1" w:rsidRPr="009B76C1" w:rsidRDefault="009B76C1" w:rsidP="009B76C1">
      <w:pPr>
        <w:pStyle w:val="Odstavecseseznamem"/>
        <w:suppressAutoHyphens w:val="0"/>
        <w:spacing w:before="113" w:after="0"/>
        <w:ind w:left="284"/>
        <w:rPr>
          <w:i/>
        </w:rPr>
      </w:pPr>
    </w:p>
    <w:p w14:paraId="49372A3D" w14:textId="77777777" w:rsidR="00F85767" w:rsidRPr="00F85767" w:rsidRDefault="000D7311" w:rsidP="00F85767">
      <w:pPr>
        <w:pStyle w:val="Odstavecseseznamem"/>
        <w:numPr>
          <w:ilvl w:val="0"/>
          <w:numId w:val="1"/>
        </w:numPr>
        <w:suppressAutoHyphens w:val="0"/>
        <w:spacing w:after="0"/>
        <w:ind w:left="284" w:hanging="284"/>
      </w:pPr>
      <w:r w:rsidRPr="00F85767">
        <w:rPr>
          <w:rFonts w:cs="Arial"/>
          <w:szCs w:val="20"/>
        </w:rPr>
        <w:t>Vyhláška č. 500/2006 Sb., o územně analytických podkladech, územně plánovací dokumentaci a způsobu evidence územně plánovací činnosti, ve znění pozdějších předpisů.</w:t>
      </w:r>
      <w:r w:rsidRPr="008B0A35">
        <w:rPr>
          <w:rFonts w:cs="Arial"/>
          <w:szCs w:val="20"/>
          <w:shd w:val="clear" w:color="auto" w:fill="FFFF00"/>
        </w:rPr>
        <w:t xml:space="preserve"> </w:t>
      </w:r>
    </w:p>
    <w:p w14:paraId="0ED330C3" w14:textId="4FBE0E4B" w:rsidR="00FF3CA8" w:rsidRPr="009B76C1" w:rsidRDefault="000D7311" w:rsidP="00AB1166">
      <w:pPr>
        <w:pStyle w:val="Odstavecseseznamem"/>
        <w:suppressAutoHyphens w:val="0"/>
        <w:spacing w:after="340"/>
        <w:ind w:left="284"/>
        <w:rPr>
          <w:i/>
        </w:rPr>
      </w:pPr>
      <w:r w:rsidRPr="009B76C1">
        <w:rPr>
          <w:i/>
        </w:rPr>
        <w:t>Vyhláška je v gesci Ministerstva pro místní rozvoj.</w:t>
      </w:r>
    </w:p>
    <w:p w14:paraId="57025A24" w14:textId="77777777" w:rsidR="00FF3CA8" w:rsidRPr="008B0A35" w:rsidRDefault="000D7311">
      <w:pPr>
        <w:pStyle w:val="nadpisek3"/>
        <w:shd w:val="clear" w:color="auto" w:fill="D9D9D9" w:themeFill="background1" w:themeFillShade="D9"/>
        <w:suppressAutoHyphens w:val="0"/>
        <w:spacing w:before="454" w:after="340"/>
        <w:jc w:val="center"/>
        <w:rPr>
          <w:color w:val="000099"/>
        </w:rPr>
      </w:pPr>
      <w:r w:rsidRPr="008B0A35">
        <w:rPr>
          <w:color w:val="000099"/>
        </w:rPr>
        <w:t>V. Použité zdroje</w:t>
      </w:r>
    </w:p>
    <w:p w14:paraId="104904DA" w14:textId="77777777" w:rsidR="00FF3CA8" w:rsidRPr="008B0A35" w:rsidRDefault="000D7311">
      <w:pPr>
        <w:pStyle w:val="napisek4"/>
        <w:widowControl w:val="0"/>
        <w:tabs>
          <w:tab w:val="left" w:pos="0"/>
        </w:tabs>
        <w:suppressAutoHyphens w:val="0"/>
        <w:spacing w:before="113" w:after="0"/>
        <w:ind w:left="284" w:hanging="284"/>
      </w:pPr>
      <w:r w:rsidRPr="008B0A35">
        <w:rPr>
          <w:rFonts w:eastAsia="Times New Roman" w:cs="Arial"/>
          <w:sz w:val="20"/>
          <w:szCs w:val="20"/>
          <w:lang w:eastAsia="cs-CZ"/>
        </w:rPr>
        <w:t>Dokumenty územního plánování</w:t>
      </w:r>
    </w:p>
    <w:p w14:paraId="718174A0" w14:textId="5950808A" w:rsidR="00F85767" w:rsidRPr="00F85767" w:rsidRDefault="000D7311" w:rsidP="00F85767">
      <w:pPr>
        <w:pStyle w:val="Odstavecseseznamem"/>
        <w:numPr>
          <w:ilvl w:val="0"/>
          <w:numId w:val="1"/>
        </w:numPr>
        <w:suppressAutoHyphens w:val="0"/>
        <w:spacing w:after="0"/>
        <w:ind w:left="284" w:hanging="283"/>
      </w:pPr>
      <w:r w:rsidRPr="00F85767">
        <w:rPr>
          <w:rFonts w:cs="Arial"/>
          <w:szCs w:val="20"/>
        </w:rPr>
        <w:t>Politika územního rozvoje České republiky (Úplné znění závazné od 1. 9. 2021). Schválena usnesením vlády č.</w:t>
      </w:r>
      <w:r w:rsidR="000E1BA4">
        <w:rPr>
          <w:rFonts w:cs="Arial"/>
          <w:szCs w:val="20"/>
        </w:rPr>
        <w:t> </w:t>
      </w:r>
      <w:r w:rsidRPr="00F85767">
        <w:rPr>
          <w:rFonts w:cs="Arial"/>
          <w:szCs w:val="20"/>
        </w:rPr>
        <w:t xml:space="preserve">618/2021, ze dne 12. 7. 2021 k Aktualizaci č. 4 PÚR ČR. </w:t>
      </w:r>
    </w:p>
    <w:p w14:paraId="5C4BD6A4" w14:textId="04A60E5B" w:rsidR="00FF3CA8" w:rsidRPr="009B76C1" w:rsidRDefault="000D7311" w:rsidP="00F85767">
      <w:pPr>
        <w:pStyle w:val="Odstavecseseznamem"/>
        <w:suppressAutoHyphens w:val="0"/>
        <w:spacing w:after="0"/>
        <w:ind w:left="284"/>
        <w:rPr>
          <w:i/>
        </w:rPr>
      </w:pPr>
      <w:r w:rsidRPr="009B76C1">
        <w:rPr>
          <w:i/>
        </w:rPr>
        <w:t>Dokument je v gesci Ministerstva pro místní rozvoj.</w:t>
      </w:r>
    </w:p>
    <w:p w14:paraId="72D890E9" w14:textId="77777777" w:rsidR="00F85767" w:rsidRPr="00F85767" w:rsidRDefault="000D7311">
      <w:pPr>
        <w:pStyle w:val="Odstavecseseznamem"/>
        <w:numPr>
          <w:ilvl w:val="0"/>
          <w:numId w:val="1"/>
        </w:numPr>
        <w:suppressAutoHyphens w:val="0"/>
        <w:spacing w:before="113" w:after="0"/>
        <w:ind w:left="283" w:hanging="283"/>
        <w:rPr>
          <w:rFonts w:cs="Arial"/>
          <w:szCs w:val="20"/>
        </w:rPr>
      </w:pPr>
      <w:r w:rsidRPr="00F85767">
        <w:rPr>
          <w:rFonts w:cs="Arial"/>
          <w:szCs w:val="20"/>
        </w:rPr>
        <w:t xml:space="preserve">Zásady územního rozvoje. </w:t>
      </w:r>
    </w:p>
    <w:p w14:paraId="64763B4D" w14:textId="1DBCE637" w:rsidR="00FF3CA8" w:rsidRPr="009B76C1" w:rsidRDefault="000D7311" w:rsidP="00F85767">
      <w:pPr>
        <w:pStyle w:val="Odstavecseseznamem"/>
        <w:suppressAutoHyphens w:val="0"/>
        <w:spacing w:after="0"/>
        <w:ind w:left="284"/>
        <w:rPr>
          <w:i/>
        </w:rPr>
      </w:pPr>
      <w:r w:rsidRPr="009B76C1">
        <w:rPr>
          <w:i/>
        </w:rPr>
        <w:t>Dokumenty jsou v gesci jednotlivých krajů.</w:t>
      </w:r>
    </w:p>
    <w:p w14:paraId="76AD3857" w14:textId="77777777" w:rsidR="00F85767" w:rsidRPr="00F85767" w:rsidRDefault="000D7311">
      <w:pPr>
        <w:pStyle w:val="Odstavecseseznamem"/>
        <w:numPr>
          <w:ilvl w:val="0"/>
          <w:numId w:val="1"/>
        </w:numPr>
        <w:suppressAutoHyphens w:val="0"/>
        <w:spacing w:before="113" w:after="0"/>
        <w:ind w:left="283" w:hanging="283"/>
        <w:rPr>
          <w:rFonts w:cs="Arial"/>
          <w:szCs w:val="20"/>
        </w:rPr>
      </w:pPr>
      <w:r w:rsidRPr="00F85767">
        <w:rPr>
          <w:rFonts w:cs="Arial"/>
          <w:szCs w:val="20"/>
        </w:rPr>
        <w:t xml:space="preserve">Územně analytické podklady krajů. </w:t>
      </w:r>
    </w:p>
    <w:p w14:paraId="26CDDE21" w14:textId="48260C28" w:rsidR="00FF3CA8" w:rsidRPr="009B76C1" w:rsidRDefault="000D7311" w:rsidP="00F85767">
      <w:pPr>
        <w:pStyle w:val="Odstavecseseznamem"/>
        <w:suppressAutoHyphens w:val="0"/>
        <w:spacing w:after="0"/>
        <w:ind w:left="284"/>
        <w:rPr>
          <w:i/>
        </w:rPr>
      </w:pPr>
      <w:r w:rsidRPr="009B76C1">
        <w:rPr>
          <w:i/>
        </w:rPr>
        <w:t xml:space="preserve">Dokumenty jsou v gesci jednotlivých krajů. </w:t>
      </w:r>
    </w:p>
    <w:p w14:paraId="42CF53B5" w14:textId="77777777" w:rsidR="00FF3CA8" w:rsidRPr="008B0A35" w:rsidRDefault="000D7311" w:rsidP="007F034C">
      <w:pPr>
        <w:pStyle w:val="napisek4"/>
        <w:widowControl w:val="0"/>
        <w:tabs>
          <w:tab w:val="left" w:pos="0"/>
        </w:tabs>
        <w:suppressAutoHyphens w:val="0"/>
        <w:spacing w:before="240" w:after="0"/>
      </w:pPr>
      <w:r w:rsidRPr="008B0A35">
        <w:rPr>
          <w:rFonts w:eastAsia="Times New Roman" w:cs="Arial"/>
          <w:sz w:val="20"/>
          <w:szCs w:val="20"/>
          <w:lang w:eastAsia="cs-CZ"/>
        </w:rPr>
        <w:t>Ostatní</w:t>
      </w:r>
    </w:p>
    <w:p w14:paraId="26CB17AE" w14:textId="65B5B2B7" w:rsidR="00FF3CA8" w:rsidRPr="009B76C1" w:rsidRDefault="000D7311">
      <w:pPr>
        <w:pStyle w:val="Odstavecseseznamem"/>
        <w:numPr>
          <w:ilvl w:val="0"/>
          <w:numId w:val="1"/>
        </w:numPr>
        <w:suppressAutoHyphens w:val="0"/>
        <w:spacing w:before="113" w:after="0"/>
        <w:ind w:left="284" w:hanging="284"/>
        <w:jc w:val="left"/>
        <w:rPr>
          <w:i/>
        </w:rPr>
      </w:pPr>
      <w:r w:rsidRPr="00F85767">
        <w:rPr>
          <w:rFonts w:cs="Arial"/>
          <w:szCs w:val="20"/>
        </w:rPr>
        <w:t xml:space="preserve">Ministerstvo pro místní rozvoj, Politika územního rozvoje České </w:t>
      </w:r>
      <w:r w:rsidRPr="008F4493">
        <w:rPr>
          <w:rFonts w:cs="Arial"/>
          <w:szCs w:val="20"/>
        </w:rPr>
        <w:t>republiky.</w:t>
      </w:r>
      <w:r w:rsidRPr="008F4493">
        <w:rPr>
          <w:rStyle w:val="doplnte-zdroj"/>
        </w:rPr>
        <w:t xml:space="preserve"> </w:t>
      </w:r>
      <w:r w:rsidRPr="008F4493">
        <w:rPr>
          <w:i/>
        </w:rPr>
        <w:t>Dostupné</w:t>
      </w:r>
      <w:r w:rsidRPr="009B76C1">
        <w:rPr>
          <w:i/>
        </w:rPr>
        <w:t xml:space="preserve"> z URL: </w:t>
      </w:r>
      <w:r w:rsidRPr="00985513">
        <w:rPr>
          <w:i/>
        </w:rPr>
        <w:t>&lt;</w:t>
      </w:r>
      <w:hyperlink r:id="rId15" w:history="1">
        <w:r w:rsidRPr="006D6AF1">
          <w:rPr>
            <w:rStyle w:val="Hypertextovodkaz"/>
            <w:i/>
            <w:color w:val="auto"/>
          </w:rPr>
          <w:t>https://www.mmr.cz/cs/ministerstvo/stavebni-pravo/koncepce-a-strategie/politika-uzemniho-rozvoje-ceske-republiky</w:t>
        </w:r>
      </w:hyperlink>
      <w:hyperlink r:id="rId16">
        <w:r w:rsidRPr="00985513">
          <w:rPr>
            <w:i/>
          </w:rPr>
          <w:t>/</w:t>
        </w:r>
      </w:hyperlink>
      <w:r w:rsidRPr="00985513">
        <w:rPr>
          <w:i/>
        </w:rPr>
        <w:t>&gt;.</w:t>
      </w:r>
    </w:p>
    <w:p w14:paraId="7B7A68D4" w14:textId="2ECEF62F" w:rsidR="006D6AF1" w:rsidRDefault="000D7311">
      <w:pPr>
        <w:pStyle w:val="Odstavecseseznamem"/>
        <w:numPr>
          <w:ilvl w:val="0"/>
          <w:numId w:val="1"/>
        </w:numPr>
        <w:suppressAutoHyphens w:val="0"/>
        <w:spacing w:before="113" w:after="0"/>
        <w:ind w:left="284" w:hanging="284"/>
        <w:jc w:val="left"/>
        <w:rPr>
          <w:i/>
        </w:rPr>
      </w:pPr>
      <w:r w:rsidRPr="00F85767">
        <w:rPr>
          <w:rFonts w:cs="Arial"/>
          <w:szCs w:val="20"/>
        </w:rPr>
        <w:t>Ústav územního rozvoje, Informační web územního plánování, ÚPD a ÚPP krajů (zásady územního rozvoje, územně analytické podklady krajů</w:t>
      </w:r>
      <w:r w:rsidRPr="009B76C1">
        <w:rPr>
          <w:i/>
        </w:rPr>
        <w:t>. Dostu</w:t>
      </w:r>
      <w:r w:rsidRPr="00EC0FCA">
        <w:rPr>
          <w:i/>
        </w:rPr>
        <w:t xml:space="preserve">pné z URL: </w:t>
      </w:r>
      <w:r w:rsidR="006D6AF1" w:rsidRPr="00EC0FCA">
        <w:rPr>
          <w:i/>
        </w:rPr>
        <w:t>&lt;</w:t>
      </w:r>
      <w:hyperlink r:id="rId17" w:history="1">
        <w:r w:rsidR="006D6AF1" w:rsidRPr="00EB386E">
          <w:rPr>
            <w:rStyle w:val="Hypertextovodkaz"/>
            <w:i/>
            <w:color w:val="auto"/>
          </w:rPr>
          <w:t>https://portal.uur.cz/nastroje-uzemniho-planovani-v-ceske-republice/upd-a-upp-kraju.asp</w:t>
        </w:r>
      </w:hyperlink>
      <w:hyperlink r:id="rId18">
        <w:r w:rsidR="006D6AF1" w:rsidRPr="00EC0FCA">
          <w:rPr>
            <w:i/>
          </w:rPr>
          <w:t>/</w:t>
        </w:r>
      </w:hyperlink>
      <w:r w:rsidR="006D6AF1" w:rsidRPr="00EC0FCA">
        <w:rPr>
          <w:i/>
        </w:rPr>
        <w:t>&gt;.</w:t>
      </w:r>
    </w:p>
    <w:p w14:paraId="490E233A" w14:textId="77777777" w:rsidR="00FF3CA8" w:rsidRPr="00F85767" w:rsidRDefault="000D7311">
      <w:pPr>
        <w:pStyle w:val="Odstavecseseznamem"/>
        <w:numPr>
          <w:ilvl w:val="0"/>
          <w:numId w:val="1"/>
        </w:numPr>
        <w:suppressAutoHyphens w:val="0"/>
        <w:spacing w:before="113" w:after="0"/>
        <w:ind w:left="284" w:hanging="284"/>
        <w:jc w:val="left"/>
        <w:rPr>
          <w:rFonts w:cs="Arial"/>
          <w:szCs w:val="20"/>
        </w:rPr>
      </w:pPr>
      <w:r w:rsidRPr="00F85767">
        <w:rPr>
          <w:rFonts w:cs="Arial"/>
          <w:szCs w:val="20"/>
        </w:rPr>
        <w:t>Sjednocení vybraných jevů ze ZÚR, aktualizace 2022, HYDROSOFT Veleslavín, s.r.o.</w:t>
      </w:r>
    </w:p>
    <w:p w14:paraId="3E6A5671" w14:textId="77777777" w:rsidR="00FF3CA8" w:rsidRPr="008B0A35" w:rsidRDefault="000D7311" w:rsidP="000E1BA4">
      <w:pPr>
        <w:pStyle w:val="nadpisek3"/>
        <w:shd w:val="clear" w:color="auto" w:fill="D9D9D9" w:themeFill="background1" w:themeFillShade="D9"/>
        <w:spacing w:before="454" w:after="0"/>
        <w:jc w:val="center"/>
        <w:rPr>
          <w:color w:val="000099"/>
        </w:rPr>
      </w:pPr>
      <w:r w:rsidRPr="008B0A35">
        <w:rPr>
          <w:color w:val="000099"/>
        </w:rPr>
        <w:t>VI. Použité zkratky</w:t>
      </w:r>
    </w:p>
    <w:p w14:paraId="1082F5E2" w14:textId="77777777" w:rsidR="00FF3CA8" w:rsidRPr="008B0A35" w:rsidRDefault="000D7311" w:rsidP="000E1BA4">
      <w:pPr>
        <w:shd w:val="clear" w:color="auto" w:fill="FFFFFF"/>
        <w:suppressAutoHyphens w:val="0"/>
        <w:spacing w:before="340" w:after="0"/>
      </w:pPr>
      <w:r w:rsidRPr="008B0A35">
        <w:rPr>
          <w:rFonts w:eastAsia="Times New Roman" w:cs="Arial"/>
          <w:iCs/>
          <w:szCs w:val="20"/>
          <w:lang w:eastAsia="cs-CZ"/>
        </w:rPr>
        <w:t>ČR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Česká republika</w:t>
      </w:r>
    </w:p>
    <w:p w14:paraId="0B1FA7DC" w14:textId="77777777" w:rsidR="00FF3CA8" w:rsidRPr="008B0A35" w:rsidRDefault="000D7311">
      <w:pPr>
        <w:shd w:val="clear" w:color="auto" w:fill="FFFFFF"/>
        <w:suppressAutoHyphens w:val="0"/>
        <w:spacing w:before="113" w:after="0"/>
      </w:pPr>
      <w:r w:rsidRPr="008B0A35">
        <w:rPr>
          <w:rFonts w:eastAsia="Times New Roman" w:cs="Arial"/>
          <w:iCs/>
          <w:szCs w:val="20"/>
          <w:lang w:eastAsia="cs-CZ"/>
        </w:rPr>
        <w:t>MMR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Ministerstvo pro místní rozvoj</w:t>
      </w:r>
    </w:p>
    <w:p w14:paraId="3E227048" w14:textId="77777777" w:rsidR="006F0B42" w:rsidRPr="008B0A35" w:rsidRDefault="006F0B42" w:rsidP="006F0B42">
      <w:pPr>
        <w:shd w:val="clear" w:color="auto" w:fill="FFFFFF"/>
        <w:suppressAutoHyphens w:val="0"/>
        <w:spacing w:before="113" w:after="0"/>
      </w:pPr>
      <w:r w:rsidRPr="008B0A35">
        <w:rPr>
          <w:rFonts w:eastAsia="Times New Roman" w:cs="Arial"/>
          <w:iCs/>
          <w:szCs w:val="20"/>
          <w:lang w:eastAsia="cs-CZ"/>
        </w:rPr>
        <w:t>OB1-OB12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 xml:space="preserve">rozvojové oblasti </w:t>
      </w:r>
      <w:r w:rsidRPr="00023A8E">
        <w:rPr>
          <w:rFonts w:eastAsia="Times New Roman" w:cs="Arial"/>
          <w:iCs/>
          <w:szCs w:val="20"/>
          <w:lang w:eastAsia="cs-CZ"/>
        </w:rPr>
        <w:t xml:space="preserve">republikového významu </w:t>
      </w:r>
      <w:r w:rsidRPr="008B0A35">
        <w:rPr>
          <w:rFonts w:eastAsia="Times New Roman" w:cs="Arial"/>
          <w:iCs/>
          <w:szCs w:val="20"/>
          <w:lang w:eastAsia="cs-CZ"/>
        </w:rPr>
        <w:t>vymezené v PÚR</w:t>
      </w:r>
    </w:p>
    <w:p w14:paraId="20F3B214" w14:textId="77777777" w:rsidR="00FF3CA8" w:rsidRPr="00023A8E" w:rsidRDefault="000D7311">
      <w:pPr>
        <w:shd w:val="clear" w:color="auto" w:fill="FFFFFF"/>
        <w:suppressAutoHyphens w:val="0"/>
        <w:spacing w:before="113" w:after="0"/>
        <w:rPr>
          <w:rFonts w:eastAsia="Times New Roman" w:cs="Arial"/>
          <w:iCs/>
          <w:szCs w:val="20"/>
          <w:lang w:eastAsia="cs-CZ"/>
        </w:rPr>
      </w:pPr>
      <w:r w:rsidRPr="008B0A35">
        <w:rPr>
          <w:rFonts w:eastAsia="Times New Roman" w:cs="Arial"/>
          <w:iCs/>
          <w:szCs w:val="20"/>
          <w:lang w:eastAsia="cs-CZ"/>
        </w:rPr>
        <w:t>OS1-OS13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 xml:space="preserve">rozvojové osy </w:t>
      </w:r>
      <w:r w:rsidRPr="00023A8E">
        <w:rPr>
          <w:rFonts w:eastAsia="Times New Roman" w:cs="Arial"/>
          <w:iCs/>
          <w:szCs w:val="20"/>
          <w:lang w:eastAsia="cs-CZ"/>
        </w:rPr>
        <w:t>republikového významu</w:t>
      </w:r>
      <w:r w:rsidRPr="008B0A35">
        <w:rPr>
          <w:rFonts w:eastAsia="Times New Roman" w:cs="Arial"/>
          <w:iCs/>
          <w:szCs w:val="20"/>
          <w:lang w:eastAsia="cs-CZ"/>
        </w:rPr>
        <w:t xml:space="preserve"> vymezené v PÚR</w:t>
      </w:r>
    </w:p>
    <w:p w14:paraId="5F459173" w14:textId="77777777" w:rsidR="00FF3CA8" w:rsidRPr="008B0A35" w:rsidRDefault="000D7311">
      <w:pPr>
        <w:shd w:val="clear" w:color="auto" w:fill="FFFFFF"/>
        <w:suppressAutoHyphens w:val="0"/>
        <w:spacing w:before="113" w:after="0"/>
      </w:pPr>
      <w:r w:rsidRPr="008B0A35">
        <w:rPr>
          <w:rFonts w:eastAsia="Times New Roman" w:cs="Arial"/>
          <w:iCs/>
          <w:szCs w:val="20"/>
          <w:lang w:eastAsia="cs-CZ"/>
        </w:rPr>
        <w:t>PÚR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politika územního rozvoje</w:t>
      </w:r>
    </w:p>
    <w:p w14:paraId="0AE9C491" w14:textId="77777777" w:rsidR="00FF3CA8" w:rsidRPr="00023A8E" w:rsidRDefault="000D7311">
      <w:pPr>
        <w:shd w:val="clear" w:color="auto" w:fill="FFFFFF"/>
        <w:suppressAutoHyphens w:val="0"/>
        <w:spacing w:before="113" w:after="0"/>
        <w:rPr>
          <w:rFonts w:eastAsia="Times New Roman" w:cs="Arial"/>
          <w:iCs/>
          <w:szCs w:val="20"/>
          <w:lang w:eastAsia="cs-CZ"/>
        </w:rPr>
      </w:pPr>
      <w:r w:rsidRPr="00023A8E">
        <w:rPr>
          <w:rFonts w:eastAsia="Times New Roman" w:cs="Arial"/>
          <w:iCs/>
          <w:szCs w:val="20"/>
          <w:lang w:eastAsia="cs-CZ"/>
        </w:rPr>
        <w:t>SOB</w:t>
      </w:r>
      <w:r w:rsidRPr="00023A8E">
        <w:rPr>
          <w:rFonts w:eastAsia="Times New Roman" w:cs="Arial"/>
          <w:iCs/>
          <w:szCs w:val="20"/>
          <w:lang w:eastAsia="cs-CZ"/>
        </w:rPr>
        <w:tab/>
      </w:r>
      <w:r w:rsidRPr="00023A8E">
        <w:rPr>
          <w:rFonts w:eastAsia="Times New Roman" w:cs="Arial"/>
          <w:iCs/>
          <w:szCs w:val="20"/>
          <w:lang w:eastAsia="cs-CZ"/>
        </w:rPr>
        <w:tab/>
      </w:r>
      <w:r w:rsidRPr="00023A8E">
        <w:rPr>
          <w:rFonts w:eastAsia="Times New Roman" w:cs="Arial"/>
          <w:iCs/>
          <w:szCs w:val="20"/>
          <w:lang w:eastAsia="cs-CZ"/>
        </w:rPr>
        <w:tab/>
        <w:t>specifická oblast</w:t>
      </w:r>
    </w:p>
    <w:p w14:paraId="4526B5B5" w14:textId="77777777" w:rsidR="00FF3CA8" w:rsidRPr="00023A8E" w:rsidRDefault="000D7311">
      <w:pPr>
        <w:shd w:val="clear" w:color="auto" w:fill="FFFFFF"/>
        <w:suppressAutoHyphens w:val="0"/>
        <w:spacing w:before="113" w:after="0"/>
        <w:rPr>
          <w:rFonts w:eastAsia="Times New Roman" w:cs="Arial"/>
          <w:iCs/>
          <w:szCs w:val="20"/>
          <w:lang w:eastAsia="cs-CZ"/>
        </w:rPr>
      </w:pPr>
      <w:r w:rsidRPr="008B0A35">
        <w:rPr>
          <w:rFonts w:eastAsia="Times New Roman" w:cs="Arial"/>
          <w:iCs/>
          <w:szCs w:val="20"/>
          <w:lang w:eastAsia="cs-CZ"/>
        </w:rPr>
        <w:t xml:space="preserve">SOB1 – SOB9 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specifické oblasti republikového významu</w:t>
      </w:r>
      <w:r w:rsidRPr="00023A8E">
        <w:rPr>
          <w:rFonts w:eastAsia="Times New Roman" w:cs="Arial"/>
          <w:iCs/>
          <w:szCs w:val="20"/>
          <w:lang w:eastAsia="cs-CZ"/>
        </w:rPr>
        <w:t xml:space="preserve"> vymezené v PÚR</w:t>
      </w:r>
    </w:p>
    <w:p w14:paraId="37DBDEC0" w14:textId="77777777" w:rsidR="006F0B42" w:rsidRPr="008B0A35" w:rsidRDefault="006F0B42" w:rsidP="006F0B42">
      <w:pPr>
        <w:shd w:val="clear" w:color="auto" w:fill="FFFFFF"/>
        <w:suppressAutoHyphens w:val="0"/>
        <w:spacing w:before="113" w:after="0"/>
      </w:pPr>
      <w:r>
        <w:rPr>
          <w:rFonts w:eastAsia="Times New Roman" w:cs="Arial"/>
          <w:iCs/>
          <w:szCs w:val="20"/>
          <w:lang w:eastAsia="cs-CZ"/>
        </w:rPr>
        <w:t>TŽK</w:t>
      </w:r>
      <w:r>
        <w:rPr>
          <w:rFonts w:eastAsia="Times New Roman" w:cs="Arial"/>
          <w:iCs/>
          <w:szCs w:val="20"/>
          <w:lang w:eastAsia="cs-CZ"/>
        </w:rPr>
        <w:tab/>
      </w:r>
      <w:r>
        <w:rPr>
          <w:rFonts w:eastAsia="Times New Roman" w:cs="Arial"/>
          <w:iCs/>
          <w:szCs w:val="20"/>
          <w:lang w:eastAsia="cs-CZ"/>
        </w:rPr>
        <w:tab/>
      </w:r>
      <w:r>
        <w:rPr>
          <w:rFonts w:eastAsia="Times New Roman" w:cs="Arial"/>
          <w:iCs/>
          <w:szCs w:val="20"/>
          <w:lang w:eastAsia="cs-CZ"/>
        </w:rPr>
        <w:tab/>
        <w:t>t</w:t>
      </w:r>
      <w:r w:rsidRPr="00613A46">
        <w:rPr>
          <w:rFonts w:eastAsia="Times New Roman" w:cs="Arial"/>
          <w:iCs/>
          <w:szCs w:val="20"/>
          <w:lang w:eastAsia="cs-CZ"/>
        </w:rPr>
        <w:t>ranzitní železniční koridor</w:t>
      </w:r>
    </w:p>
    <w:p w14:paraId="57296C76" w14:textId="77777777" w:rsidR="006F0B42" w:rsidRPr="008B0A35" w:rsidRDefault="006F0B42" w:rsidP="006F0B42">
      <w:pPr>
        <w:shd w:val="clear" w:color="auto" w:fill="FFFFFF"/>
        <w:suppressAutoHyphens w:val="0"/>
        <w:spacing w:before="113" w:after="0"/>
      </w:pPr>
      <w:r w:rsidRPr="008B0A35">
        <w:rPr>
          <w:rFonts w:eastAsia="Times New Roman" w:cs="Arial"/>
          <w:iCs/>
          <w:szCs w:val="20"/>
          <w:lang w:eastAsia="cs-CZ"/>
        </w:rPr>
        <w:t>ÚAP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územně analytické podklady</w:t>
      </w:r>
    </w:p>
    <w:p w14:paraId="7915C215" w14:textId="36AB818F" w:rsidR="00FF3CA8" w:rsidRPr="00023A8E" w:rsidRDefault="000D7311">
      <w:pPr>
        <w:shd w:val="clear" w:color="auto" w:fill="FFFFFF"/>
        <w:suppressAutoHyphens w:val="0"/>
        <w:spacing w:before="113" w:after="0"/>
        <w:rPr>
          <w:rFonts w:eastAsia="Times New Roman" w:cs="Arial"/>
          <w:iCs/>
          <w:szCs w:val="20"/>
          <w:lang w:eastAsia="cs-CZ"/>
        </w:rPr>
      </w:pPr>
      <w:r w:rsidRPr="00023A8E">
        <w:rPr>
          <w:rFonts w:eastAsia="Times New Roman" w:cs="Arial"/>
          <w:iCs/>
          <w:szCs w:val="20"/>
          <w:lang w:eastAsia="cs-CZ"/>
        </w:rPr>
        <w:t>ÚSES</w:t>
      </w:r>
      <w:r w:rsidRPr="00023A8E">
        <w:rPr>
          <w:rFonts w:eastAsia="Times New Roman" w:cs="Arial"/>
          <w:iCs/>
          <w:szCs w:val="20"/>
          <w:lang w:eastAsia="cs-CZ"/>
        </w:rPr>
        <w:tab/>
      </w:r>
      <w:r w:rsidRPr="00023A8E">
        <w:rPr>
          <w:rFonts w:eastAsia="Times New Roman" w:cs="Arial"/>
          <w:iCs/>
          <w:szCs w:val="20"/>
          <w:lang w:eastAsia="cs-CZ"/>
        </w:rPr>
        <w:tab/>
      </w:r>
      <w:r w:rsidRPr="00023A8E">
        <w:rPr>
          <w:rFonts w:eastAsia="Times New Roman" w:cs="Arial"/>
          <w:iCs/>
          <w:szCs w:val="20"/>
          <w:lang w:eastAsia="cs-CZ"/>
        </w:rPr>
        <w:tab/>
        <w:t>územní systé</w:t>
      </w:r>
      <w:r w:rsidR="00023A8E">
        <w:rPr>
          <w:rFonts w:eastAsia="Times New Roman" w:cs="Arial"/>
          <w:iCs/>
          <w:szCs w:val="20"/>
          <w:lang w:eastAsia="cs-CZ"/>
        </w:rPr>
        <w:t>m</w:t>
      </w:r>
      <w:r w:rsidRPr="00023A8E">
        <w:rPr>
          <w:rFonts w:eastAsia="Times New Roman" w:cs="Arial"/>
          <w:iCs/>
          <w:szCs w:val="20"/>
          <w:lang w:eastAsia="cs-CZ"/>
        </w:rPr>
        <w:t xml:space="preserve"> ekologické stability</w:t>
      </w:r>
    </w:p>
    <w:p w14:paraId="01A7CE3B" w14:textId="35C8973D" w:rsidR="00613A46" w:rsidRPr="008B0A35" w:rsidRDefault="000D7311" w:rsidP="000E1BA4">
      <w:pPr>
        <w:shd w:val="clear" w:color="auto" w:fill="FFFFFF"/>
        <w:suppressAutoHyphens w:val="0"/>
        <w:spacing w:before="113" w:after="450"/>
        <w:rPr>
          <w:rFonts w:eastAsia="Times New Roman" w:cs="Arial"/>
          <w:iCs/>
          <w:szCs w:val="20"/>
          <w:lang w:eastAsia="cs-CZ"/>
        </w:rPr>
      </w:pPr>
      <w:r w:rsidRPr="008B0A35">
        <w:rPr>
          <w:rFonts w:eastAsia="Times New Roman" w:cs="Arial"/>
          <w:iCs/>
          <w:szCs w:val="20"/>
          <w:lang w:eastAsia="cs-CZ"/>
        </w:rPr>
        <w:t>ÚÚR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Ústav územního rozvojeZÚR</w:t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</w:r>
      <w:r w:rsidRPr="008B0A35">
        <w:rPr>
          <w:rFonts w:eastAsia="Times New Roman" w:cs="Arial"/>
          <w:iCs/>
          <w:szCs w:val="20"/>
          <w:lang w:eastAsia="cs-CZ"/>
        </w:rPr>
        <w:tab/>
        <w:t>zásady územního rozvoje</w:t>
      </w:r>
    </w:p>
    <w:p w14:paraId="2B70A21D" w14:textId="77777777" w:rsidR="00FF3CA8" w:rsidRPr="008B0A35" w:rsidRDefault="000D7311" w:rsidP="000E1BA4">
      <w:pPr>
        <w:pStyle w:val="nadpisek3"/>
        <w:shd w:val="clear" w:color="auto" w:fill="D9D9D9" w:themeFill="background1" w:themeFillShade="D9"/>
        <w:suppressAutoHyphens w:val="0"/>
        <w:spacing w:before="360" w:after="340"/>
        <w:jc w:val="center"/>
        <w:rPr>
          <w:color w:val="000099"/>
        </w:rPr>
      </w:pPr>
      <w:r w:rsidRPr="008B0A35">
        <w:rPr>
          <w:color w:val="000099"/>
        </w:rPr>
        <w:t>VII. Seznam grafických listů kapitoly 14</w:t>
      </w:r>
      <w:r w:rsidRPr="008B0A35">
        <w:rPr>
          <w:rFonts w:eastAsia="Times New Roman" w:cs="Arial"/>
          <w:szCs w:val="20"/>
          <w:lang w:eastAsia="cs-CZ"/>
        </w:rPr>
        <w:t xml:space="preserve">       </w:t>
      </w:r>
    </w:p>
    <w:p w14:paraId="1B07EA49" w14:textId="77777777" w:rsidR="00FF3CA8" w:rsidRPr="008B0A35" w:rsidRDefault="000D7311">
      <w:pPr>
        <w:pStyle w:val="Odstavecseseznamem"/>
        <w:numPr>
          <w:ilvl w:val="0"/>
          <w:numId w:val="1"/>
        </w:numPr>
        <w:suppressAutoHyphens w:val="0"/>
        <w:spacing w:before="57" w:after="0"/>
        <w:ind w:left="284" w:hanging="284"/>
      </w:pPr>
      <w:r w:rsidRPr="008B0A35">
        <w:rPr>
          <w:szCs w:val="20"/>
        </w:rPr>
        <w:t xml:space="preserve">14.1 Rozvojové osy a rozvojové oblasti (republikové a nadmístní)  </w:t>
      </w:r>
    </w:p>
    <w:p w14:paraId="19B3AB65" w14:textId="77777777" w:rsidR="00FF3CA8" w:rsidRPr="008B0A35" w:rsidRDefault="000D7311">
      <w:pPr>
        <w:pStyle w:val="Odstavecseseznamem"/>
        <w:numPr>
          <w:ilvl w:val="0"/>
          <w:numId w:val="1"/>
        </w:numPr>
        <w:suppressAutoHyphens w:val="0"/>
        <w:spacing w:before="57" w:after="0"/>
        <w:ind w:left="284" w:hanging="284"/>
      </w:pPr>
      <w:r w:rsidRPr="008B0A35">
        <w:rPr>
          <w:szCs w:val="20"/>
        </w:rPr>
        <w:t>14.2 Specifické oblasti (republikové a nadmístní)</w:t>
      </w:r>
    </w:p>
    <w:p w14:paraId="1CC2F000" w14:textId="77777777" w:rsidR="00FF3CA8" w:rsidRPr="008B0A35" w:rsidRDefault="000D7311">
      <w:pPr>
        <w:pStyle w:val="Odstavecseseznamem"/>
        <w:numPr>
          <w:ilvl w:val="0"/>
          <w:numId w:val="1"/>
        </w:numPr>
        <w:suppressAutoHyphens w:val="0"/>
        <w:spacing w:before="57" w:after="0"/>
        <w:ind w:left="284" w:hanging="284"/>
      </w:pPr>
      <w:r w:rsidRPr="008B0A35">
        <w:rPr>
          <w:szCs w:val="20"/>
        </w:rPr>
        <w:t xml:space="preserve">14.3 Dopravní infrastruktura (celostátně významné rozvojové plochy, koridory a územní rezervy dle ZÚR)  </w:t>
      </w:r>
    </w:p>
    <w:p w14:paraId="7D7DED37" w14:textId="77777777" w:rsidR="00FF3CA8" w:rsidRPr="008B0A35" w:rsidRDefault="000D7311">
      <w:pPr>
        <w:pStyle w:val="Odstavecseseznamem"/>
        <w:numPr>
          <w:ilvl w:val="0"/>
          <w:numId w:val="1"/>
        </w:numPr>
        <w:suppressAutoHyphens w:val="0"/>
        <w:spacing w:before="57" w:after="0"/>
        <w:ind w:left="284" w:hanging="284"/>
      </w:pPr>
      <w:r w:rsidRPr="008B0A35">
        <w:rPr>
          <w:szCs w:val="20"/>
        </w:rPr>
        <w:t xml:space="preserve">14.4 Technická infrastruktura (celostátně významné rozvojové plochy, koridory a územní rezervy dle ZÚR) </w:t>
      </w:r>
    </w:p>
    <w:p w14:paraId="6302402E" w14:textId="14CEDC21" w:rsidR="006A6C96" w:rsidRDefault="000D7311">
      <w:pPr>
        <w:pStyle w:val="Odstavecseseznamem"/>
        <w:numPr>
          <w:ilvl w:val="0"/>
          <w:numId w:val="1"/>
        </w:numPr>
        <w:suppressAutoHyphens w:val="0"/>
        <w:spacing w:before="57" w:after="0"/>
        <w:ind w:left="284" w:hanging="284"/>
        <w:rPr>
          <w:szCs w:val="20"/>
        </w:rPr>
      </w:pPr>
      <w:r w:rsidRPr="008B0A35">
        <w:rPr>
          <w:szCs w:val="20"/>
        </w:rPr>
        <w:t>14.5 Územní systém ekologické stability (regionální i nadregionální)</w:t>
      </w:r>
      <w:r w:rsidR="006A6C96">
        <w:rPr>
          <w:szCs w:val="20"/>
        </w:rPr>
        <w:br w:type="page"/>
      </w:r>
    </w:p>
    <w:p w14:paraId="0E92BA94" w14:textId="77777777" w:rsidR="00FF3CA8" w:rsidRPr="008B0A35" w:rsidRDefault="000D7311">
      <w:pPr>
        <w:pStyle w:val="nadpisek3"/>
        <w:shd w:val="clear" w:color="auto" w:fill="D9D9D9" w:themeFill="background1" w:themeFillShade="D9"/>
        <w:spacing w:before="454" w:after="340"/>
        <w:jc w:val="center"/>
        <w:rPr>
          <w:color w:val="000099"/>
        </w:rPr>
      </w:pPr>
      <w:r w:rsidRPr="008B0A35">
        <w:rPr>
          <w:color w:val="000099"/>
        </w:rPr>
        <w:lastRenderedPageBreak/>
        <w:t xml:space="preserve">VIII. Přílohy </w:t>
      </w:r>
    </w:p>
    <w:p w14:paraId="2E0C7FD5" w14:textId="77777777" w:rsidR="00FF3CA8" w:rsidRPr="008B0A35" w:rsidRDefault="000D7311">
      <w:pPr>
        <w:spacing w:before="360"/>
        <w:jc w:val="left"/>
        <w:outlineLvl w:val="0"/>
      </w:pPr>
      <w:r w:rsidRPr="008B0A35">
        <w:rPr>
          <w:b/>
          <w:szCs w:val="20"/>
        </w:rPr>
        <w:t xml:space="preserve">Příloha: Přehled specifických oblastí nadmístního významu vymezených v zásadách územního rozvoje </w:t>
      </w:r>
    </w:p>
    <w:tbl>
      <w:tblPr>
        <w:tblW w:w="101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63"/>
        <w:gridCol w:w="7250"/>
        <w:gridCol w:w="1525"/>
      </w:tblGrid>
      <w:tr w:rsidR="00FF3CA8" w:rsidRPr="008B0A35" w14:paraId="6B29AC4E" w14:textId="77777777">
        <w:tc>
          <w:tcPr>
            <w:tcW w:w="13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99"/>
            <w:vAlign w:val="center"/>
          </w:tcPr>
          <w:p w14:paraId="3090CD78" w14:textId="77777777" w:rsidR="00FF3CA8" w:rsidRPr="008B0A35" w:rsidRDefault="000D7311">
            <w:pPr>
              <w:widowControl w:val="0"/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Označení SOB dle ZÚR příslušného kraje</w:t>
            </w:r>
          </w:p>
        </w:tc>
        <w:tc>
          <w:tcPr>
            <w:tcW w:w="72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000099"/>
            <w:vAlign w:val="center"/>
          </w:tcPr>
          <w:p w14:paraId="3E274C2F" w14:textId="77777777" w:rsidR="00FF3CA8" w:rsidRPr="008B0A35" w:rsidRDefault="000D7311">
            <w:pPr>
              <w:widowControl w:val="0"/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Název specifické oblasti dle ZÚR příslušného kraje</w:t>
            </w:r>
          </w:p>
        </w:tc>
        <w:tc>
          <w:tcPr>
            <w:tcW w:w="15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99"/>
            <w:vAlign w:val="center"/>
          </w:tcPr>
          <w:p w14:paraId="04A28DE1" w14:textId="77777777" w:rsidR="00FF3CA8" w:rsidRPr="008B0A35" w:rsidRDefault="000D7311">
            <w:pPr>
              <w:widowControl w:val="0"/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8B0A35">
              <w:rPr>
                <w:rFonts w:cs="Arial"/>
                <w:b/>
                <w:sz w:val="18"/>
                <w:szCs w:val="18"/>
              </w:rPr>
              <w:t>Kraj, na jehož území je SOB vymezena</w:t>
            </w:r>
          </w:p>
        </w:tc>
      </w:tr>
      <w:tr w:rsidR="00FF3CA8" w:rsidRPr="00EC7CAD" w14:paraId="512D303B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8C415B0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SC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80C366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Oblast stávajícího celoměstského centra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4FE50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Hlavní město Praha</w:t>
            </w:r>
          </w:p>
        </w:tc>
      </w:tr>
      <w:tr w:rsidR="00FF3CA8" w:rsidRPr="00EC7CAD" w14:paraId="7342E57C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A03A39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SO/1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E6810A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Draháň – Troja – Bubeneč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1186D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EBB718B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6AC8B8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SO/2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A332A7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Letňany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1B85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AE57B1E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FFAC2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SO/3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7B1E2B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Strahov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12997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9DEBBAB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B1121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SP/1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0F5D90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Soutok Vltavy a Berounky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51E0C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D44B5F9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D25063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SP/2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62A175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Radotínské údolí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8E7E3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521FC53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05E860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SP/3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B07953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Prokopské a Dalejské údolí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45D0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DE74561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D9EC18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SP/4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A433CCB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Vidoule – Cibulka – Motol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01D0D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FEB416D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5D62EA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SP/5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A8B28E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Šárka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6BBB0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413DC74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39E16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SL/1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899239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Ruzyně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B7211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C014516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FD25A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SL/2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9A7DDE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Kbely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B6D6A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80B3C5C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C4451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SN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9A827A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Údolní niva Berounky a Vltavy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C7257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DBA7682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177D92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393650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Orlicko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560AC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Jihočeský</w:t>
            </w:r>
          </w:p>
        </w:tc>
      </w:tr>
      <w:tr w:rsidR="00FF3CA8" w:rsidRPr="00EC7CAD" w14:paraId="16CA4220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6132C4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E5655D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Třeboňsko – Novohradsko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E8AA8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EECE92F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577919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CDAC1D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Pacovsko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0D44A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51CF9E9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BA82CC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3893F8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Vranovsko – Jevišovicko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14BFE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Jihomoravský</w:t>
            </w:r>
          </w:p>
        </w:tc>
      </w:tr>
      <w:tr w:rsidR="00FF3CA8" w:rsidRPr="00EC7CAD" w14:paraId="42FB87E8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AC20AE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EA686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Horňácko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516C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CD5E33C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99A9DF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169AA5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Olešnicko – Tišnovsko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75C1F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4D85F2F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7B43B2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N-SOB4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E0E7C5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Velkoopatovicko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3DD1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2E14F02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C842E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SOB-N1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BB4D91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Slavkovský les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B8F9D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Karlovarský</w:t>
            </w:r>
          </w:p>
        </w:tc>
      </w:tr>
      <w:tr w:rsidR="00FF3CA8" w:rsidRPr="00EC7CAD" w14:paraId="703239A9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A0B273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SOB-N2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EAE4DA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Bochov – Žlutice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A81CD" w14:textId="77777777" w:rsidR="00FF3CA8" w:rsidRPr="00EC7CAD" w:rsidRDefault="00FF3CA8">
            <w:pPr>
              <w:pStyle w:val="Obsahtabulky"/>
              <w:spacing w:after="0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8FCD697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DAFE5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5BD91F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Broumovsko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556B9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Královéhradecký</w:t>
            </w:r>
          </w:p>
        </w:tc>
      </w:tr>
      <w:tr w:rsidR="00FF3CA8" w:rsidRPr="00EC7CAD" w14:paraId="40D50EF3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C14176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F92734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Orlické hory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1DFD7" w14:textId="77777777" w:rsidR="00FF3CA8" w:rsidRPr="00EC7CAD" w:rsidRDefault="00FF3CA8">
            <w:pPr>
              <w:pStyle w:val="Obsahtabulky"/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F3CA8" w:rsidRPr="00EC7CAD" w14:paraId="7EB478BF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AB63EF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2591A0" w14:textId="77777777" w:rsidR="00FF3CA8" w:rsidRPr="00EC7CAD" w:rsidRDefault="000D7311">
            <w:pPr>
              <w:widowControl w:val="0"/>
              <w:spacing w:after="0"/>
              <w:jc w:val="left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Jičínsko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0A41B" w14:textId="77777777" w:rsidR="00FF3CA8" w:rsidRPr="00EC7CAD" w:rsidRDefault="00FF3CA8">
            <w:pPr>
              <w:pStyle w:val="Obsahtabulky"/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F3CA8" w:rsidRPr="00EC7CAD" w14:paraId="53630472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89288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SOBk1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E4A7AB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Pacov – Pelhřimov – Světlá nad Sázavou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493A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Kraj Vysočina</w:t>
            </w:r>
          </w:p>
        </w:tc>
      </w:tr>
      <w:tr w:rsidR="00FF3CA8" w:rsidRPr="00EC7CAD" w14:paraId="631A538A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AE631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51CC68A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Vysočina – sever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A420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E2D2E77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03AEFA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5C5822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Vysočina – severovýchod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DC361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EBC5EE8" w14:textId="77777777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5C56FC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SOBk4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81CD86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Jemnicko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66E8F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4D2DFDD" w14:textId="77777777" w:rsidTr="008B0A35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91C6E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SOBk5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80625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Hrotovicko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BA2B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57081D8" w14:textId="77777777" w:rsidTr="008B0A35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2C56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SOB3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BBC907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Mimoňsko</w:t>
            </w:r>
          </w:p>
        </w:tc>
        <w:tc>
          <w:tcPr>
            <w:tcW w:w="152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BC565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Liberecký</w:t>
            </w:r>
          </w:p>
        </w:tc>
      </w:tr>
      <w:tr w:rsidR="00FF3CA8" w:rsidRPr="00EC7CAD" w14:paraId="3526552B" w14:textId="77777777" w:rsidTr="008B0A35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2004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SOB4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408DB5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Frýdlantsko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95FA0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4EA7E7E" w14:textId="77777777" w:rsidTr="008B0A35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E1682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SOB5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2426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Český ráj jih</w:t>
            </w:r>
          </w:p>
        </w:tc>
        <w:tc>
          <w:tcPr>
            <w:tcW w:w="15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618F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0B1529F" w14:textId="77777777" w:rsidTr="008B0A35"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0395E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SOB-N2</w:t>
            </w:r>
          </w:p>
        </w:tc>
        <w:tc>
          <w:tcPr>
            <w:tcW w:w="7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9B32A8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Budišovsko – Vítkovsko</w:t>
            </w:r>
          </w:p>
        </w:tc>
        <w:tc>
          <w:tcPr>
            <w:tcW w:w="1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5284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Moravskoslezský</w:t>
            </w:r>
          </w:p>
        </w:tc>
      </w:tr>
    </w:tbl>
    <w:p w14:paraId="4171F8B0" w14:textId="77777777" w:rsidR="006A6C96" w:rsidRDefault="006A6C96" w:rsidP="006A6C96">
      <w:pPr>
        <w:spacing w:after="360"/>
      </w:pPr>
    </w:p>
    <w:tbl>
      <w:tblPr>
        <w:tblW w:w="10138" w:type="dxa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363"/>
        <w:gridCol w:w="7250"/>
        <w:gridCol w:w="1525"/>
      </w:tblGrid>
      <w:tr w:rsidR="00FF3CA8" w:rsidRPr="00EC7CAD" w14:paraId="57543051" w14:textId="77777777" w:rsidTr="006A6C96">
        <w:tc>
          <w:tcPr>
            <w:tcW w:w="1363" w:type="dxa"/>
            <w:shd w:val="clear" w:color="auto" w:fill="auto"/>
            <w:vAlign w:val="center"/>
          </w:tcPr>
          <w:p w14:paraId="7DBB47DE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SOB-k1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4C11300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problémy v oblasti hospodářského rozvoje a sociální soudržnosti obyvatel</w:t>
            </w:r>
          </w:p>
        </w:tc>
        <w:tc>
          <w:tcPr>
            <w:tcW w:w="1525" w:type="dxa"/>
            <w:vMerge w:val="restart"/>
            <w:vAlign w:val="center"/>
          </w:tcPr>
          <w:p w14:paraId="4E02AA8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Olomoucký</w:t>
            </w:r>
          </w:p>
        </w:tc>
      </w:tr>
      <w:tr w:rsidR="00FF3CA8" w:rsidRPr="00EC7CAD" w14:paraId="7D9E7DED" w14:textId="77777777" w:rsidTr="006A6C96">
        <w:tc>
          <w:tcPr>
            <w:tcW w:w="1363" w:type="dxa"/>
            <w:shd w:val="clear" w:color="auto" w:fill="auto"/>
            <w:vAlign w:val="center"/>
          </w:tcPr>
          <w:p w14:paraId="53CE6D44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SOB-k2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31429B60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problémy v oblasti hospodářského rozvoje a sociální soudržnosti obyvatel</w:t>
            </w:r>
          </w:p>
        </w:tc>
        <w:tc>
          <w:tcPr>
            <w:tcW w:w="1525" w:type="dxa"/>
            <w:vMerge/>
            <w:vAlign w:val="center"/>
          </w:tcPr>
          <w:p w14:paraId="634F8B43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1DD89DF" w14:textId="77777777" w:rsidTr="006A6C96">
        <w:tc>
          <w:tcPr>
            <w:tcW w:w="1363" w:type="dxa"/>
            <w:shd w:val="clear" w:color="auto" w:fill="auto"/>
            <w:vAlign w:val="center"/>
          </w:tcPr>
          <w:p w14:paraId="4451DF3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SOB-k3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3ED0D09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problémy v oblasti hospodářského rozvoje a sociální soudržnosti obyvatel</w:t>
            </w:r>
          </w:p>
        </w:tc>
        <w:tc>
          <w:tcPr>
            <w:tcW w:w="1525" w:type="dxa"/>
            <w:vMerge/>
            <w:vAlign w:val="center"/>
          </w:tcPr>
          <w:p w14:paraId="0819D3C3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3F52A7C" w14:textId="77777777" w:rsidTr="006A6C96">
        <w:tc>
          <w:tcPr>
            <w:tcW w:w="1363" w:type="dxa"/>
            <w:shd w:val="clear" w:color="auto" w:fill="auto"/>
            <w:vAlign w:val="center"/>
          </w:tcPr>
          <w:p w14:paraId="0AFF2C6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SOB-k4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7A56E63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problémy v oblasti hospodářského rozvoje a sociální soudržnosti obyvatel</w:t>
            </w:r>
          </w:p>
        </w:tc>
        <w:tc>
          <w:tcPr>
            <w:tcW w:w="1525" w:type="dxa"/>
            <w:vMerge/>
            <w:vAlign w:val="center"/>
          </w:tcPr>
          <w:p w14:paraId="72CBEAA1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7AEA6C9" w14:textId="77777777" w:rsidTr="006A6C96">
        <w:tc>
          <w:tcPr>
            <w:tcW w:w="1363" w:type="dxa"/>
            <w:shd w:val="clear" w:color="auto" w:fill="auto"/>
            <w:vAlign w:val="center"/>
          </w:tcPr>
          <w:p w14:paraId="3F6BA499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SOB-k5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F965B59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problémy v oblasti hospodářského rozvoje a sociální soudržnosti obyvatel</w:t>
            </w:r>
          </w:p>
        </w:tc>
        <w:tc>
          <w:tcPr>
            <w:tcW w:w="1525" w:type="dxa"/>
            <w:vMerge/>
            <w:vAlign w:val="center"/>
          </w:tcPr>
          <w:p w14:paraId="663B300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FD0F5A2" w14:textId="77777777" w:rsidTr="006A6C96">
        <w:tc>
          <w:tcPr>
            <w:tcW w:w="1363" w:type="dxa"/>
            <w:shd w:val="clear" w:color="auto" w:fill="auto"/>
            <w:vAlign w:val="center"/>
          </w:tcPr>
          <w:p w14:paraId="52411482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ST1 - ST6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25BC8E81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s vysokou koncentrací prováděné a připravované (očekávané) těžby nerostných surovin</w:t>
            </w:r>
          </w:p>
        </w:tc>
        <w:tc>
          <w:tcPr>
            <w:tcW w:w="1525" w:type="dxa"/>
            <w:vMerge/>
            <w:vAlign w:val="center"/>
          </w:tcPr>
          <w:p w14:paraId="4DB3A515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D495F2B" w14:textId="77777777" w:rsidTr="006A6C96">
        <w:tc>
          <w:tcPr>
            <w:tcW w:w="1363" w:type="dxa"/>
            <w:shd w:val="clear" w:color="auto" w:fill="auto"/>
            <w:vAlign w:val="center"/>
          </w:tcPr>
          <w:p w14:paraId="0E6C5458" w14:textId="77777777" w:rsidR="00FF3CA8" w:rsidRPr="00EC7CAD" w:rsidRDefault="00FF3CA8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  <w:tc>
          <w:tcPr>
            <w:tcW w:w="7250" w:type="dxa"/>
            <w:shd w:val="clear" w:color="auto" w:fill="auto"/>
            <w:vAlign w:val="center"/>
          </w:tcPr>
          <w:p w14:paraId="6CEC7D9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 zvláštního účelu, významná pro obranu státu – Vojenský újezd Libavá</w:t>
            </w:r>
          </w:p>
        </w:tc>
        <w:tc>
          <w:tcPr>
            <w:tcW w:w="1525" w:type="dxa"/>
            <w:vMerge/>
            <w:vAlign w:val="center"/>
          </w:tcPr>
          <w:p w14:paraId="479C2BCE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66F9ED6" w14:textId="77777777" w:rsidTr="006A6C96">
        <w:tc>
          <w:tcPr>
            <w:tcW w:w="1363" w:type="dxa"/>
            <w:shd w:val="clear" w:color="auto" w:fill="auto"/>
            <w:vAlign w:val="center"/>
          </w:tcPr>
          <w:p w14:paraId="12D4CC9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SOBk1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08B979C7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Jižní Moravsko Třebovsko</w:t>
            </w:r>
          </w:p>
        </w:tc>
        <w:tc>
          <w:tcPr>
            <w:tcW w:w="1525" w:type="dxa"/>
            <w:vMerge w:val="restart"/>
            <w:vAlign w:val="center"/>
          </w:tcPr>
          <w:p w14:paraId="4E816E41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Pardubický</w:t>
            </w:r>
          </w:p>
        </w:tc>
      </w:tr>
      <w:tr w:rsidR="00FF3CA8" w:rsidRPr="00EC7CAD" w14:paraId="5D93A402" w14:textId="77777777" w:rsidTr="006A6C96">
        <w:tc>
          <w:tcPr>
            <w:tcW w:w="1363" w:type="dxa"/>
            <w:shd w:val="clear" w:color="auto" w:fill="auto"/>
            <w:vAlign w:val="center"/>
          </w:tcPr>
          <w:p w14:paraId="132D4ED0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SOBk2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4C353796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Jižní Poličsko</w:t>
            </w:r>
          </w:p>
        </w:tc>
        <w:tc>
          <w:tcPr>
            <w:tcW w:w="1525" w:type="dxa"/>
            <w:vMerge/>
            <w:vAlign w:val="center"/>
          </w:tcPr>
          <w:p w14:paraId="30A24DE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710DB79" w14:textId="77777777" w:rsidTr="006A6C96">
        <w:tc>
          <w:tcPr>
            <w:tcW w:w="1363" w:type="dxa"/>
            <w:shd w:val="clear" w:color="auto" w:fill="auto"/>
            <w:vAlign w:val="center"/>
          </w:tcPr>
          <w:p w14:paraId="0407BBB2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SOBk3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37B83C69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Novohradsko</w:t>
            </w:r>
          </w:p>
        </w:tc>
        <w:tc>
          <w:tcPr>
            <w:tcW w:w="1525" w:type="dxa"/>
            <w:vMerge/>
            <w:vAlign w:val="center"/>
          </w:tcPr>
          <w:p w14:paraId="31F24A15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8905C25" w14:textId="77777777" w:rsidTr="006A6C96">
        <w:tc>
          <w:tcPr>
            <w:tcW w:w="1363" w:type="dxa"/>
            <w:shd w:val="clear" w:color="auto" w:fill="auto"/>
            <w:vAlign w:val="center"/>
          </w:tcPr>
          <w:p w14:paraId="1CC0949D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SOBk4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231214D7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Třemošnicko</w:t>
            </w:r>
          </w:p>
        </w:tc>
        <w:tc>
          <w:tcPr>
            <w:tcW w:w="1525" w:type="dxa"/>
            <w:vMerge/>
            <w:vAlign w:val="center"/>
          </w:tcPr>
          <w:p w14:paraId="07B652BA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822D4D8" w14:textId="77777777" w:rsidTr="006A6C96">
        <w:tc>
          <w:tcPr>
            <w:tcW w:w="1363" w:type="dxa"/>
            <w:shd w:val="clear" w:color="auto" w:fill="auto"/>
            <w:vAlign w:val="center"/>
          </w:tcPr>
          <w:p w14:paraId="552BE895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SOBk5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08680C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Orlicko</w:t>
            </w:r>
          </w:p>
        </w:tc>
        <w:tc>
          <w:tcPr>
            <w:tcW w:w="1525" w:type="dxa"/>
            <w:vMerge/>
            <w:vAlign w:val="center"/>
          </w:tcPr>
          <w:p w14:paraId="13066A25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E5503A7" w14:textId="77777777" w:rsidTr="006A6C96">
        <w:tc>
          <w:tcPr>
            <w:tcW w:w="1363" w:type="dxa"/>
            <w:shd w:val="clear" w:color="auto" w:fill="auto"/>
            <w:vAlign w:val="center"/>
          </w:tcPr>
          <w:p w14:paraId="6B4C66A4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SON1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6D0A8B4D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Český les</w:t>
            </w:r>
          </w:p>
        </w:tc>
        <w:tc>
          <w:tcPr>
            <w:tcW w:w="1525" w:type="dxa"/>
            <w:vMerge w:val="restart"/>
            <w:vAlign w:val="center"/>
          </w:tcPr>
          <w:p w14:paraId="488EEE3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Plzeňský</w:t>
            </w:r>
          </w:p>
        </w:tc>
      </w:tr>
      <w:tr w:rsidR="00FF3CA8" w:rsidRPr="00EC7CAD" w14:paraId="74ED40B6" w14:textId="77777777" w:rsidTr="006A6C96">
        <w:tc>
          <w:tcPr>
            <w:tcW w:w="1363" w:type="dxa"/>
            <w:shd w:val="clear" w:color="auto" w:fill="auto"/>
            <w:vAlign w:val="center"/>
          </w:tcPr>
          <w:p w14:paraId="0E79F17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SON2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7730325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Podhůří Šumavy</w:t>
            </w:r>
          </w:p>
        </w:tc>
        <w:tc>
          <w:tcPr>
            <w:tcW w:w="1525" w:type="dxa"/>
            <w:vMerge/>
            <w:vAlign w:val="center"/>
          </w:tcPr>
          <w:p w14:paraId="0F095ACE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CE9B614" w14:textId="77777777" w:rsidTr="006A6C96">
        <w:tc>
          <w:tcPr>
            <w:tcW w:w="1363" w:type="dxa"/>
            <w:shd w:val="clear" w:color="auto" w:fill="auto"/>
            <w:vAlign w:val="center"/>
          </w:tcPr>
          <w:p w14:paraId="4CD888F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SON3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2A0A6516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Severní Rokycansko</w:t>
            </w:r>
          </w:p>
        </w:tc>
        <w:tc>
          <w:tcPr>
            <w:tcW w:w="1525" w:type="dxa"/>
            <w:vMerge/>
            <w:vAlign w:val="center"/>
          </w:tcPr>
          <w:p w14:paraId="6BD4C72B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0C0F4F5" w14:textId="77777777" w:rsidTr="006A6C96">
        <w:tc>
          <w:tcPr>
            <w:tcW w:w="1363" w:type="dxa"/>
            <w:shd w:val="clear" w:color="auto" w:fill="auto"/>
            <w:vAlign w:val="center"/>
          </w:tcPr>
          <w:p w14:paraId="0CFB080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SON4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5703B41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Bezdružicko</w:t>
            </w:r>
          </w:p>
        </w:tc>
        <w:tc>
          <w:tcPr>
            <w:tcW w:w="1525" w:type="dxa"/>
            <w:vMerge/>
            <w:vAlign w:val="center"/>
          </w:tcPr>
          <w:p w14:paraId="0D9DFB5E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2D77E6D" w14:textId="77777777" w:rsidTr="006A6C96">
        <w:tc>
          <w:tcPr>
            <w:tcW w:w="1363" w:type="dxa"/>
            <w:shd w:val="clear" w:color="auto" w:fill="auto"/>
            <w:vAlign w:val="center"/>
          </w:tcPr>
          <w:p w14:paraId="05820A23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SON5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68CB9DDB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Brdy</w:t>
            </w:r>
          </w:p>
        </w:tc>
        <w:tc>
          <w:tcPr>
            <w:tcW w:w="1525" w:type="dxa"/>
            <w:vMerge/>
            <w:vAlign w:val="center"/>
          </w:tcPr>
          <w:p w14:paraId="6673C84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9559A83" w14:textId="77777777" w:rsidTr="006A6C96">
        <w:tc>
          <w:tcPr>
            <w:tcW w:w="1363" w:type="dxa"/>
            <w:shd w:val="clear" w:color="auto" w:fill="auto"/>
            <w:vAlign w:val="center"/>
          </w:tcPr>
          <w:p w14:paraId="2019D046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SON6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957DB8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Kralovicko</w:t>
            </w:r>
          </w:p>
        </w:tc>
        <w:tc>
          <w:tcPr>
            <w:tcW w:w="1525" w:type="dxa"/>
            <w:vMerge/>
            <w:vAlign w:val="center"/>
          </w:tcPr>
          <w:p w14:paraId="5A8CDF0B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B121204" w14:textId="77777777" w:rsidTr="006A6C96">
        <w:tc>
          <w:tcPr>
            <w:tcW w:w="1363" w:type="dxa"/>
            <w:shd w:val="clear" w:color="auto" w:fill="auto"/>
            <w:vAlign w:val="center"/>
          </w:tcPr>
          <w:p w14:paraId="1415748D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SON7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1624FA5A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Sedmihoří</w:t>
            </w:r>
          </w:p>
        </w:tc>
        <w:tc>
          <w:tcPr>
            <w:tcW w:w="1525" w:type="dxa"/>
            <w:vMerge/>
            <w:vAlign w:val="center"/>
          </w:tcPr>
          <w:p w14:paraId="23A4F9DB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C484520" w14:textId="77777777" w:rsidTr="006A6C96">
        <w:tc>
          <w:tcPr>
            <w:tcW w:w="1363" w:type="dxa"/>
            <w:shd w:val="clear" w:color="auto" w:fill="auto"/>
            <w:vAlign w:val="center"/>
          </w:tcPr>
          <w:p w14:paraId="4F49D38E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SON8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5E45DFF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Kolovečsko</w:t>
            </w:r>
          </w:p>
        </w:tc>
        <w:tc>
          <w:tcPr>
            <w:tcW w:w="1525" w:type="dxa"/>
            <w:vMerge/>
            <w:vAlign w:val="center"/>
          </w:tcPr>
          <w:p w14:paraId="39AD66A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0790DB65" w14:textId="77777777" w:rsidTr="006A6C96">
        <w:tc>
          <w:tcPr>
            <w:tcW w:w="1363" w:type="dxa"/>
            <w:shd w:val="clear" w:color="auto" w:fill="auto"/>
            <w:vAlign w:val="center"/>
          </w:tcPr>
          <w:p w14:paraId="0B90AD6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SON9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4858F48D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Plánicko – Nepomucko</w:t>
            </w:r>
          </w:p>
        </w:tc>
        <w:tc>
          <w:tcPr>
            <w:tcW w:w="1525" w:type="dxa"/>
            <w:vMerge/>
            <w:vAlign w:val="center"/>
          </w:tcPr>
          <w:p w14:paraId="17AA9E8A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5352279" w14:textId="77777777" w:rsidTr="006A6C96">
        <w:tc>
          <w:tcPr>
            <w:tcW w:w="1363" w:type="dxa"/>
            <w:shd w:val="clear" w:color="auto" w:fill="auto"/>
            <w:vAlign w:val="center"/>
          </w:tcPr>
          <w:p w14:paraId="5B3D5B33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SOBk1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5BE0A57E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Brdy – Rožmitálsko</w:t>
            </w:r>
          </w:p>
        </w:tc>
        <w:tc>
          <w:tcPr>
            <w:tcW w:w="1525" w:type="dxa"/>
            <w:vMerge w:val="restart"/>
            <w:vAlign w:val="center"/>
          </w:tcPr>
          <w:p w14:paraId="5439B72D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Středočeský</w:t>
            </w:r>
          </w:p>
        </w:tc>
      </w:tr>
      <w:tr w:rsidR="00FF3CA8" w:rsidRPr="00EC7CAD" w14:paraId="418CE829" w14:textId="77777777" w:rsidTr="006A6C96">
        <w:tc>
          <w:tcPr>
            <w:tcW w:w="1363" w:type="dxa"/>
            <w:shd w:val="clear" w:color="auto" w:fill="auto"/>
            <w:vAlign w:val="center"/>
          </w:tcPr>
          <w:p w14:paraId="22784FB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SOBk2</w:t>
            </w:r>
          </w:p>
        </w:tc>
        <w:tc>
          <w:tcPr>
            <w:tcW w:w="7250" w:type="dxa"/>
            <w:shd w:val="clear" w:color="auto" w:fill="auto"/>
            <w:vAlign w:val="center"/>
          </w:tcPr>
          <w:p w14:paraId="7C976F41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Klučenicko – Petrovicko</w:t>
            </w:r>
          </w:p>
        </w:tc>
        <w:tc>
          <w:tcPr>
            <w:tcW w:w="1525" w:type="dxa"/>
            <w:vMerge/>
            <w:vAlign w:val="center"/>
          </w:tcPr>
          <w:p w14:paraId="589404E7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253745F" w14:textId="77777777" w:rsidTr="006A6C96">
        <w:tc>
          <w:tcPr>
            <w:tcW w:w="1363" w:type="dxa"/>
            <w:vAlign w:val="center"/>
          </w:tcPr>
          <w:p w14:paraId="55B3495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SOBk3</w:t>
            </w:r>
          </w:p>
        </w:tc>
        <w:tc>
          <w:tcPr>
            <w:tcW w:w="7250" w:type="dxa"/>
            <w:vAlign w:val="center"/>
          </w:tcPr>
          <w:p w14:paraId="5A120771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Neustupovsko – Načeradecko</w:t>
            </w:r>
          </w:p>
        </w:tc>
        <w:tc>
          <w:tcPr>
            <w:tcW w:w="1525" w:type="dxa"/>
            <w:vMerge/>
            <w:vAlign w:val="center"/>
          </w:tcPr>
          <w:p w14:paraId="00B45CA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10DA712A" w14:textId="77777777" w:rsidTr="006A6C96">
        <w:tc>
          <w:tcPr>
            <w:tcW w:w="1363" w:type="dxa"/>
            <w:vAlign w:val="center"/>
          </w:tcPr>
          <w:p w14:paraId="76A42418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SOBk4</w:t>
            </w:r>
          </w:p>
        </w:tc>
        <w:tc>
          <w:tcPr>
            <w:tcW w:w="7250" w:type="dxa"/>
            <w:vAlign w:val="center"/>
          </w:tcPr>
          <w:p w14:paraId="1209B248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Dolní Kralovicko – Zbýšovsko</w:t>
            </w:r>
          </w:p>
        </w:tc>
        <w:tc>
          <w:tcPr>
            <w:tcW w:w="1525" w:type="dxa"/>
            <w:vMerge/>
            <w:vAlign w:val="center"/>
          </w:tcPr>
          <w:p w14:paraId="19093246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EC5BAB1" w14:textId="77777777" w:rsidTr="006A6C96">
        <w:tc>
          <w:tcPr>
            <w:tcW w:w="1363" w:type="dxa"/>
            <w:vAlign w:val="center"/>
          </w:tcPr>
          <w:p w14:paraId="2734018C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SOBk5</w:t>
            </w:r>
          </w:p>
        </w:tc>
        <w:tc>
          <w:tcPr>
            <w:tcW w:w="7250" w:type="dxa"/>
            <w:vAlign w:val="center"/>
          </w:tcPr>
          <w:p w14:paraId="112C0E8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Kněžicko – Rožďalovicko</w:t>
            </w:r>
          </w:p>
        </w:tc>
        <w:tc>
          <w:tcPr>
            <w:tcW w:w="1525" w:type="dxa"/>
            <w:vMerge/>
            <w:vAlign w:val="center"/>
          </w:tcPr>
          <w:p w14:paraId="62374E5A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8C6CB2E" w14:textId="77777777" w:rsidTr="006A6C96">
        <w:tc>
          <w:tcPr>
            <w:tcW w:w="1363" w:type="dxa"/>
            <w:vAlign w:val="center"/>
          </w:tcPr>
          <w:p w14:paraId="02981D01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SOBk6</w:t>
            </w:r>
          </w:p>
        </w:tc>
        <w:tc>
          <w:tcPr>
            <w:tcW w:w="7250" w:type="dxa"/>
            <w:vAlign w:val="center"/>
          </w:tcPr>
          <w:p w14:paraId="209D56DA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Mšensko</w:t>
            </w:r>
          </w:p>
        </w:tc>
        <w:tc>
          <w:tcPr>
            <w:tcW w:w="1525" w:type="dxa"/>
            <w:vMerge/>
            <w:vAlign w:val="center"/>
          </w:tcPr>
          <w:p w14:paraId="4F19B879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6F234C8D" w14:textId="77777777" w:rsidTr="006A6C96">
        <w:tc>
          <w:tcPr>
            <w:tcW w:w="1363" w:type="dxa"/>
            <w:vAlign w:val="center"/>
          </w:tcPr>
          <w:p w14:paraId="6D6D79A7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SOBk7</w:t>
            </w:r>
          </w:p>
        </w:tc>
        <w:tc>
          <w:tcPr>
            <w:tcW w:w="7250" w:type="dxa"/>
            <w:vAlign w:val="center"/>
          </w:tcPr>
          <w:p w14:paraId="1BE0E29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Bílichovsko – Pochvalovsko</w:t>
            </w:r>
          </w:p>
        </w:tc>
        <w:tc>
          <w:tcPr>
            <w:tcW w:w="1525" w:type="dxa"/>
            <w:vMerge/>
            <w:vAlign w:val="center"/>
          </w:tcPr>
          <w:p w14:paraId="1D62B76B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390DCCAD" w14:textId="77777777" w:rsidTr="006A6C96">
        <w:tc>
          <w:tcPr>
            <w:tcW w:w="1363" w:type="dxa"/>
            <w:vAlign w:val="center"/>
          </w:tcPr>
          <w:p w14:paraId="383C9E68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SOBk8</w:t>
            </w:r>
          </w:p>
        </w:tc>
        <w:tc>
          <w:tcPr>
            <w:tcW w:w="7250" w:type="dxa"/>
            <w:vAlign w:val="center"/>
          </w:tcPr>
          <w:p w14:paraId="0895C5E4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Jesenicko – Čistecko</w:t>
            </w:r>
          </w:p>
        </w:tc>
        <w:tc>
          <w:tcPr>
            <w:tcW w:w="1525" w:type="dxa"/>
            <w:vMerge/>
            <w:vAlign w:val="center"/>
          </w:tcPr>
          <w:p w14:paraId="74D56197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BE7C489" w14:textId="77777777" w:rsidTr="006A6C96">
        <w:tc>
          <w:tcPr>
            <w:tcW w:w="1363" w:type="dxa"/>
            <w:vAlign w:val="center"/>
          </w:tcPr>
          <w:p w14:paraId="6171D533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NSOB1</w:t>
            </w:r>
          </w:p>
        </w:tc>
        <w:tc>
          <w:tcPr>
            <w:tcW w:w="7250" w:type="dxa"/>
            <w:vAlign w:val="center"/>
          </w:tcPr>
          <w:p w14:paraId="670CE2E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Lobendavsko – Křečansko</w:t>
            </w:r>
          </w:p>
        </w:tc>
        <w:tc>
          <w:tcPr>
            <w:tcW w:w="1525" w:type="dxa"/>
            <w:vMerge w:val="restart"/>
            <w:vAlign w:val="center"/>
          </w:tcPr>
          <w:p w14:paraId="746904BD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Ústecký</w:t>
            </w:r>
          </w:p>
        </w:tc>
      </w:tr>
      <w:tr w:rsidR="00FF3CA8" w:rsidRPr="00EC7CAD" w14:paraId="2C7CE994" w14:textId="77777777" w:rsidTr="006A6C96">
        <w:tc>
          <w:tcPr>
            <w:tcW w:w="1363" w:type="dxa"/>
            <w:vAlign w:val="center"/>
          </w:tcPr>
          <w:p w14:paraId="056BC1F8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NSOB2</w:t>
            </w:r>
          </w:p>
        </w:tc>
        <w:tc>
          <w:tcPr>
            <w:tcW w:w="7250" w:type="dxa"/>
            <w:vAlign w:val="center"/>
          </w:tcPr>
          <w:p w14:paraId="11FD06DC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Jihozápadní Mostecko</w:t>
            </w:r>
          </w:p>
        </w:tc>
        <w:tc>
          <w:tcPr>
            <w:tcW w:w="1525" w:type="dxa"/>
            <w:vMerge/>
            <w:vAlign w:val="center"/>
          </w:tcPr>
          <w:p w14:paraId="32FCEF81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84339D5" w14:textId="77777777" w:rsidTr="006A6C96">
        <w:tc>
          <w:tcPr>
            <w:tcW w:w="1363" w:type="dxa"/>
            <w:vAlign w:val="center"/>
          </w:tcPr>
          <w:p w14:paraId="4F1991B4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NSOB3</w:t>
            </w:r>
          </w:p>
        </w:tc>
        <w:tc>
          <w:tcPr>
            <w:tcW w:w="7250" w:type="dxa"/>
            <w:vAlign w:val="center"/>
          </w:tcPr>
          <w:p w14:paraId="22F79669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Perucko</w:t>
            </w:r>
          </w:p>
        </w:tc>
        <w:tc>
          <w:tcPr>
            <w:tcW w:w="1525" w:type="dxa"/>
            <w:vMerge/>
            <w:vAlign w:val="center"/>
          </w:tcPr>
          <w:p w14:paraId="0F5202D4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20D3ABBB" w14:textId="77777777" w:rsidTr="006A6C96">
        <w:tc>
          <w:tcPr>
            <w:tcW w:w="1363" w:type="dxa"/>
            <w:vAlign w:val="center"/>
          </w:tcPr>
          <w:p w14:paraId="260E90C6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NSOB4</w:t>
            </w:r>
          </w:p>
        </w:tc>
        <w:tc>
          <w:tcPr>
            <w:tcW w:w="7250" w:type="dxa"/>
            <w:vAlign w:val="center"/>
          </w:tcPr>
          <w:p w14:paraId="17D4C117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Pětipesko</w:t>
            </w:r>
          </w:p>
        </w:tc>
        <w:tc>
          <w:tcPr>
            <w:tcW w:w="1525" w:type="dxa"/>
            <w:vMerge/>
            <w:vAlign w:val="center"/>
          </w:tcPr>
          <w:p w14:paraId="58005BEE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4648ADB9" w14:textId="77777777" w:rsidTr="006A6C96">
        <w:tc>
          <w:tcPr>
            <w:tcW w:w="1363" w:type="dxa"/>
            <w:vAlign w:val="center"/>
          </w:tcPr>
          <w:p w14:paraId="736FD87B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NSOB5</w:t>
            </w:r>
          </w:p>
        </w:tc>
        <w:tc>
          <w:tcPr>
            <w:tcW w:w="7250" w:type="dxa"/>
            <w:vAlign w:val="center"/>
          </w:tcPr>
          <w:p w14:paraId="24D0E5B0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Úštěcko</w:t>
            </w:r>
          </w:p>
        </w:tc>
        <w:tc>
          <w:tcPr>
            <w:tcW w:w="1525" w:type="dxa"/>
            <w:vMerge/>
            <w:vAlign w:val="center"/>
          </w:tcPr>
          <w:p w14:paraId="7D086647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7579A511" w14:textId="77777777" w:rsidTr="006A6C96">
        <w:tc>
          <w:tcPr>
            <w:tcW w:w="1363" w:type="dxa"/>
            <w:vAlign w:val="center"/>
          </w:tcPr>
          <w:p w14:paraId="6D3D7CD4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NSOB6</w:t>
            </w:r>
          </w:p>
        </w:tc>
        <w:tc>
          <w:tcPr>
            <w:tcW w:w="7250" w:type="dxa"/>
            <w:vAlign w:val="center"/>
          </w:tcPr>
          <w:p w14:paraId="6AEABD0F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Podbořansko</w:t>
            </w:r>
          </w:p>
        </w:tc>
        <w:tc>
          <w:tcPr>
            <w:tcW w:w="1525" w:type="dxa"/>
            <w:vMerge/>
            <w:vAlign w:val="center"/>
          </w:tcPr>
          <w:p w14:paraId="4A63E5F4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  <w:tr w:rsidR="00FF3CA8" w:rsidRPr="00EC7CAD" w14:paraId="58033E21" w14:textId="77777777" w:rsidTr="006A6C96">
        <w:tc>
          <w:tcPr>
            <w:tcW w:w="1363" w:type="dxa"/>
            <w:vAlign w:val="center"/>
          </w:tcPr>
          <w:p w14:paraId="56BE7ECD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N-SOB1</w:t>
            </w:r>
          </w:p>
        </w:tc>
        <w:tc>
          <w:tcPr>
            <w:tcW w:w="7250" w:type="dxa"/>
            <w:vAlign w:val="center"/>
          </w:tcPr>
          <w:p w14:paraId="6513619A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Bílé Karpaty</w:t>
            </w:r>
          </w:p>
        </w:tc>
        <w:tc>
          <w:tcPr>
            <w:tcW w:w="1525" w:type="dxa"/>
            <w:vMerge w:val="restart"/>
            <w:vAlign w:val="center"/>
          </w:tcPr>
          <w:p w14:paraId="339436B3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Zlínský</w:t>
            </w:r>
          </w:p>
        </w:tc>
      </w:tr>
      <w:tr w:rsidR="00FF3CA8" w:rsidRPr="00EC7CAD" w14:paraId="0214BB37" w14:textId="77777777" w:rsidTr="006A6C96">
        <w:tc>
          <w:tcPr>
            <w:tcW w:w="1363" w:type="dxa"/>
            <w:vAlign w:val="center"/>
          </w:tcPr>
          <w:p w14:paraId="0F734E4F" w14:textId="77777777" w:rsidR="00FF3CA8" w:rsidRPr="00EC7CAD" w:rsidRDefault="000D7311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N-SOB2</w:t>
            </w:r>
          </w:p>
        </w:tc>
        <w:tc>
          <w:tcPr>
            <w:tcW w:w="7250" w:type="dxa"/>
            <w:vAlign w:val="center"/>
          </w:tcPr>
          <w:p w14:paraId="558FE9C4" w14:textId="77777777" w:rsidR="00FF3CA8" w:rsidRPr="00EC7CAD" w:rsidRDefault="000D7311" w:rsidP="00EC7CAD">
            <w:pPr>
              <w:widowControl w:val="0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  <w:r w:rsidRPr="00EC7CAD">
              <w:rPr>
                <w:rFonts w:eastAsia="Times New Roman" w:cs="Arial"/>
                <w:iCs/>
                <w:sz w:val="18"/>
                <w:szCs w:val="18"/>
                <w:lang w:eastAsia="cs-CZ"/>
              </w:rPr>
              <w:t>Litenčicko</w:t>
            </w:r>
          </w:p>
        </w:tc>
        <w:tc>
          <w:tcPr>
            <w:tcW w:w="1525" w:type="dxa"/>
            <w:vMerge/>
            <w:vAlign w:val="center"/>
          </w:tcPr>
          <w:p w14:paraId="0D07DF78" w14:textId="77777777" w:rsidR="00FF3CA8" w:rsidRPr="00EC7CAD" w:rsidRDefault="00FF3CA8" w:rsidP="00EC7CAD">
            <w:pPr>
              <w:pStyle w:val="Obsahtabulky"/>
              <w:spacing w:after="0"/>
              <w:jc w:val="center"/>
              <w:rPr>
                <w:rFonts w:eastAsia="Times New Roman" w:cs="Arial"/>
                <w:iCs/>
                <w:sz w:val="18"/>
                <w:szCs w:val="18"/>
                <w:lang w:eastAsia="cs-CZ"/>
              </w:rPr>
            </w:pPr>
          </w:p>
        </w:tc>
      </w:tr>
    </w:tbl>
    <w:p w14:paraId="705EDE6E" w14:textId="77777777" w:rsidR="00FF3CA8" w:rsidRDefault="000D7311">
      <w:pPr>
        <w:spacing w:before="227" w:after="0"/>
        <w:jc w:val="left"/>
        <w:rPr>
          <w:i/>
        </w:rPr>
      </w:pPr>
      <w:r>
        <w:rPr>
          <w:i/>
        </w:rPr>
        <w:t xml:space="preserve">Zdroj: Zásady územního rozvoje jednotlivých krajů. </w:t>
      </w:r>
      <w:r>
        <w:rPr>
          <w:i/>
          <w:szCs w:val="20"/>
        </w:rPr>
        <w:t>Krajské úřady, 20</w:t>
      </w:r>
      <w:r>
        <w:rPr>
          <w:i/>
          <w:color w:val="000000"/>
          <w:szCs w:val="20"/>
        </w:rPr>
        <w:t>22.</w:t>
      </w:r>
      <w:r>
        <w:rPr>
          <w:i/>
          <w:szCs w:val="20"/>
        </w:rPr>
        <w:t xml:space="preserve"> </w:t>
      </w:r>
      <w:r>
        <w:rPr>
          <w:i/>
        </w:rPr>
        <w:br/>
        <w:t>Dostupné z URL:</w:t>
      </w:r>
      <w:r>
        <w:rPr>
          <w:i/>
          <w:color w:val="000000"/>
        </w:rPr>
        <w:t xml:space="preserve"> &lt;</w:t>
      </w:r>
      <w:r>
        <w:rPr>
          <w:rStyle w:val="Internetovodkaz"/>
          <w:i/>
          <w:color w:val="000000"/>
        </w:rPr>
        <w:t>https://portal.uur.cz/</w:t>
      </w:r>
      <w:r>
        <w:rPr>
          <w:i/>
          <w:color w:val="000000"/>
        </w:rPr>
        <w:t>&gt;.</w:t>
      </w:r>
    </w:p>
    <w:p w14:paraId="02881DAD" w14:textId="77777777" w:rsidR="00FF3CA8" w:rsidRDefault="00FF3CA8">
      <w:pPr>
        <w:sectPr w:rsidR="00FF3CA8">
          <w:headerReference w:type="even" r:id="rId19"/>
          <w:headerReference w:type="default" r:id="rId20"/>
          <w:footerReference w:type="even" r:id="rId21"/>
          <w:footerReference w:type="default" r:id="rId22"/>
          <w:pgSz w:w="23811" w:h="16838" w:orient="landscape"/>
          <w:pgMar w:top="1985" w:right="1418" w:bottom="1418" w:left="1418" w:header="680" w:footer="680" w:gutter="0"/>
          <w:pgNumType w:start="1"/>
          <w:cols w:num="2" w:space="708"/>
          <w:formProt w:val="0"/>
          <w:docGrid w:linePitch="360" w:charSpace="16384"/>
        </w:sectPr>
      </w:pPr>
    </w:p>
    <w:p w14:paraId="3AE715B1" w14:textId="77777777" w:rsidR="00FF3CA8" w:rsidRDefault="000D7311">
      <w:pPr>
        <w:jc w:val="center"/>
        <w:rPr>
          <w:rFonts w:cs="Arial"/>
          <w:szCs w:val="20"/>
        </w:rPr>
      </w:pPr>
      <w:r>
        <w:rPr>
          <w:noProof/>
        </w:rPr>
        <w:lastRenderedPageBreak/>
        <w:drawing>
          <wp:inline distT="0" distB="0" distL="0" distR="0" wp14:anchorId="4E3808B6" wp14:editId="56B2FDB1">
            <wp:extent cx="12063730" cy="8531225"/>
            <wp:effectExtent l="0" t="0" r="0" b="0"/>
            <wp:docPr id="3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B4565" wp14:editId="4A620237">
            <wp:extent cx="12063730" cy="8531225"/>
            <wp:effectExtent l="0" t="0" r="0" b="0"/>
            <wp:docPr id="4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BDF9C" wp14:editId="55BE1F2A">
            <wp:extent cx="12063730" cy="8531225"/>
            <wp:effectExtent l="0" t="0" r="0" b="0"/>
            <wp:docPr id="5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0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E70A3" wp14:editId="19F40A03">
            <wp:extent cx="12063730" cy="8531225"/>
            <wp:effectExtent l="0" t="0" r="0" b="0"/>
            <wp:docPr id="6" name="Obrázek 1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0E50A" wp14:editId="68CF8334">
            <wp:extent cx="12063730" cy="8531225"/>
            <wp:effectExtent l="0" t="0" r="0" b="0"/>
            <wp:docPr id="7" name="Obrázek 1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73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CA8">
      <w:type w:val="continuous"/>
      <w:pgSz w:w="23811" w:h="16838" w:orient="landscape"/>
      <w:pgMar w:top="1985" w:right="1418" w:bottom="1418" w:left="1418" w:header="680" w:footer="680" w:gutter="0"/>
      <w:cols w:space="708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1C22" w14:textId="77777777" w:rsidR="00A252A2" w:rsidRDefault="00A252A2">
      <w:pPr>
        <w:spacing w:after="0"/>
      </w:pPr>
      <w:r>
        <w:separator/>
      </w:r>
    </w:p>
  </w:endnote>
  <w:endnote w:type="continuationSeparator" w:id="0">
    <w:p w14:paraId="026A6EC6" w14:textId="77777777" w:rsidR="00A252A2" w:rsidRDefault="00A252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CE">
    <w:altName w:val="Times New Roman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7529277"/>
      <w:docPartObj>
        <w:docPartGallery w:val="Page Numbers (Bottom of Page)"/>
        <w:docPartUnique/>
      </w:docPartObj>
    </w:sdtPr>
    <w:sdtEndPr/>
    <w:sdtContent>
      <w:p w14:paraId="6548258C" w14:textId="77777777" w:rsidR="00FF3CA8" w:rsidRDefault="000D7311">
        <w:pPr>
          <w:pStyle w:val="Zpat"/>
          <w:pBdr>
            <w:top w:val="single" w:sz="4" w:space="1" w:color="808080"/>
          </w:pBdr>
          <w:tabs>
            <w:tab w:val="clear" w:pos="4536"/>
            <w:tab w:val="clear" w:pos="9072"/>
            <w:tab w:val="right" w:pos="20979"/>
          </w:tabs>
          <w:rPr>
            <w:color w:val="808080" w:themeColor="background1" w:themeShade="80"/>
            <w:szCs w:val="20"/>
          </w:rPr>
        </w:pPr>
        <w:r>
          <w:rPr>
            <w:color w:val="808080" w:themeColor="background1" w:themeShade="80"/>
            <w:spacing w:val="40"/>
            <w:szCs w:val="20"/>
          </w:rPr>
          <w:t>14–</w:t>
        </w:r>
        <w:r>
          <w:rPr>
            <w:color w:val="808080"/>
            <w:spacing w:val="40"/>
            <w:szCs w:val="20"/>
          </w:rPr>
          <w:fldChar w:fldCharType="begin"/>
        </w:r>
        <w:r>
          <w:rPr>
            <w:color w:val="808080"/>
            <w:spacing w:val="40"/>
            <w:szCs w:val="20"/>
          </w:rPr>
          <w:instrText xml:space="preserve"> PAGE </w:instrText>
        </w:r>
        <w:r>
          <w:rPr>
            <w:color w:val="808080"/>
            <w:spacing w:val="40"/>
            <w:szCs w:val="20"/>
          </w:rPr>
          <w:fldChar w:fldCharType="separate"/>
        </w:r>
        <w:r>
          <w:rPr>
            <w:color w:val="808080"/>
            <w:spacing w:val="40"/>
            <w:szCs w:val="20"/>
          </w:rPr>
          <w:t>10</w:t>
        </w:r>
        <w:r>
          <w:rPr>
            <w:color w:val="808080"/>
            <w:spacing w:val="40"/>
            <w:szCs w:val="20"/>
          </w:rPr>
          <w:fldChar w:fldCharType="end"/>
        </w:r>
        <w:r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pacing w:val="40"/>
            <w:szCs w:val="20"/>
          </w:rPr>
          <w:t>Územně analytické podklady České republiky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9323160"/>
      <w:docPartObj>
        <w:docPartGallery w:val="Page Numbers (Bottom of Page)"/>
        <w:docPartUnique/>
      </w:docPartObj>
    </w:sdtPr>
    <w:sdtEndPr/>
    <w:sdtContent>
      <w:p w14:paraId="62E2130A" w14:textId="77777777" w:rsidR="00FF3CA8" w:rsidRDefault="000D7311">
        <w:pPr>
          <w:pStyle w:val="Zpat"/>
          <w:pBdr>
            <w:top w:val="single" w:sz="4" w:space="1" w:color="808080"/>
          </w:pBdr>
          <w:tabs>
            <w:tab w:val="left" w:pos="4536"/>
            <w:tab w:val="right" w:pos="20979"/>
          </w:tabs>
          <w:jc w:val="left"/>
          <w:rPr>
            <w:color w:val="808080" w:themeColor="background1" w:themeShade="80"/>
            <w:sz w:val="18"/>
            <w:szCs w:val="18"/>
          </w:rPr>
        </w:pPr>
        <w:r>
          <w:rPr>
            <w:color w:val="808080" w:themeColor="background1" w:themeShade="80"/>
            <w:spacing w:val="40"/>
          </w:rPr>
          <w:t xml:space="preserve">Územně analytické podklady </w:t>
        </w:r>
        <w:r>
          <w:rPr>
            <w:color w:val="808080" w:themeColor="background1" w:themeShade="80"/>
            <w:spacing w:val="40"/>
            <w:szCs w:val="20"/>
          </w:rPr>
          <w:t>České republiky</w:t>
        </w:r>
        <w:r>
          <w:rPr>
            <w:color w:val="808080" w:themeColor="background1" w:themeShade="80"/>
            <w:spacing w:val="40"/>
            <w:szCs w:val="20"/>
          </w:rPr>
          <w:tab/>
        </w:r>
        <w:r>
          <w:rPr>
            <w:color w:val="808080" w:themeColor="background1" w:themeShade="80"/>
            <w:spacing w:val="40"/>
          </w:rPr>
          <w:tab/>
          <w:t>14–</w:t>
        </w:r>
        <w:r>
          <w:rPr>
            <w:color w:val="808080"/>
            <w:szCs w:val="20"/>
          </w:rPr>
          <w:fldChar w:fldCharType="begin"/>
        </w:r>
        <w:r>
          <w:rPr>
            <w:color w:val="808080"/>
            <w:szCs w:val="20"/>
          </w:rPr>
          <w:instrText xml:space="preserve"> PAGE </w:instrText>
        </w:r>
        <w:r>
          <w:rPr>
            <w:color w:val="808080"/>
            <w:szCs w:val="20"/>
          </w:rPr>
          <w:fldChar w:fldCharType="separate"/>
        </w:r>
        <w:r>
          <w:rPr>
            <w:color w:val="808080"/>
            <w:szCs w:val="20"/>
          </w:rPr>
          <w:t>9</w:t>
        </w:r>
        <w:r>
          <w:rPr>
            <w:color w:val="80808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592B5" w14:textId="77777777" w:rsidR="00A252A2" w:rsidRDefault="00A252A2">
      <w:pPr>
        <w:spacing w:after="0"/>
      </w:pPr>
      <w:r>
        <w:separator/>
      </w:r>
    </w:p>
  </w:footnote>
  <w:footnote w:type="continuationSeparator" w:id="0">
    <w:p w14:paraId="3D717B03" w14:textId="77777777" w:rsidR="00A252A2" w:rsidRDefault="00A252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4FA5" w14:textId="77777777" w:rsidR="00FF3CA8" w:rsidRDefault="000D7311">
    <w:pPr>
      <w:pStyle w:val="Zhlav"/>
      <w:pBdr>
        <w:bottom w:val="single" w:sz="4" w:space="1" w:color="808080"/>
      </w:pBdr>
      <w:tabs>
        <w:tab w:val="clear" w:pos="9072"/>
        <w:tab w:val="right" w:pos="20979"/>
      </w:tabs>
      <w:spacing w:before="360"/>
      <w:rPr>
        <w:color w:val="808080" w:themeColor="background1" w:themeShade="80"/>
      </w:rPr>
    </w:pPr>
    <w:r>
      <w:rPr>
        <w:noProof/>
      </w:rPr>
      <w:drawing>
        <wp:anchor distT="0" distB="0" distL="0" distR="0" simplePos="0" relativeHeight="11" behindDoc="1" locked="0" layoutInCell="0" allowOverlap="1" wp14:anchorId="70BEB1B9" wp14:editId="5EB4FAA5">
          <wp:simplePos x="0" y="0"/>
          <wp:positionH relativeFrom="page">
            <wp:posOffset>900430</wp:posOffset>
          </wp:positionH>
          <wp:positionV relativeFrom="page">
            <wp:posOffset>365125</wp:posOffset>
          </wp:positionV>
          <wp:extent cx="2008505" cy="4318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ab/>
    </w:r>
    <w:r>
      <w:rPr>
        <w:color w:val="808080" w:themeColor="background1" w:themeShade="80"/>
        <w:sz w:val="28"/>
        <w:szCs w:val="28"/>
      </w:rPr>
      <w:tab/>
      <w:t>14. ZÁVAZNÉ VÝSTUPY PÚR A ZÚR</w:t>
    </w:r>
  </w:p>
  <w:p w14:paraId="369737DF" w14:textId="77777777" w:rsidR="00FF3CA8" w:rsidRDefault="00FF3C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877A9" w14:textId="77777777" w:rsidR="00FF3CA8" w:rsidRDefault="000D7311">
    <w:pPr>
      <w:pStyle w:val="Zhlav"/>
      <w:pBdr>
        <w:bottom w:val="single" w:sz="4" w:space="1" w:color="808080"/>
      </w:pBdr>
      <w:spacing w:before="360"/>
      <w:rPr>
        <w:color w:val="808080" w:themeColor="background1" w:themeShade="80"/>
        <w:sz w:val="28"/>
        <w:szCs w:val="28"/>
      </w:rPr>
    </w:pPr>
    <w:r>
      <w:rPr>
        <w:noProof/>
      </w:rPr>
      <w:drawing>
        <wp:anchor distT="0" distB="0" distL="0" distR="0" simplePos="0" relativeHeight="6" behindDoc="1" locked="0" layoutInCell="0" allowOverlap="1" wp14:anchorId="60007045" wp14:editId="0BDFE93A">
          <wp:simplePos x="0" y="0"/>
          <wp:positionH relativeFrom="page">
            <wp:posOffset>13185140</wp:posOffset>
          </wp:positionH>
          <wp:positionV relativeFrom="page">
            <wp:posOffset>329565</wp:posOffset>
          </wp:positionV>
          <wp:extent cx="1036320" cy="467995"/>
          <wp:effectExtent l="0" t="0" r="0" b="0"/>
          <wp:wrapNone/>
          <wp:docPr id="2" name="Obrázek 3" descr="H:\Šimková Hana\a-Propagace\logo-u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3" descr="H:\Šimková Hana\a-Propagace\logo-u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808080" w:themeColor="background1" w:themeShade="80"/>
        <w:sz w:val="28"/>
        <w:szCs w:val="28"/>
      </w:rPr>
      <w:t xml:space="preserve">14. ZÁVAZNÉ VÝSTUPY PÚR A ZÚR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3056D"/>
    <w:multiLevelType w:val="multilevel"/>
    <w:tmpl w:val="923A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FE12CCC"/>
    <w:multiLevelType w:val="multilevel"/>
    <w:tmpl w:val="A0D0CE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A8"/>
    <w:rsid w:val="00023A8E"/>
    <w:rsid w:val="0002400B"/>
    <w:rsid w:val="000853E4"/>
    <w:rsid w:val="000D7311"/>
    <w:rsid w:val="000E1BA4"/>
    <w:rsid w:val="00100DF3"/>
    <w:rsid w:val="001204DA"/>
    <w:rsid w:val="001232DB"/>
    <w:rsid w:val="001256EA"/>
    <w:rsid w:val="00146E39"/>
    <w:rsid w:val="001A22FC"/>
    <w:rsid w:val="00283BCC"/>
    <w:rsid w:val="002D0A8B"/>
    <w:rsid w:val="003062EE"/>
    <w:rsid w:val="00311EFA"/>
    <w:rsid w:val="00354C04"/>
    <w:rsid w:val="00363CF3"/>
    <w:rsid w:val="003C5232"/>
    <w:rsid w:val="00404BCA"/>
    <w:rsid w:val="00444EDF"/>
    <w:rsid w:val="00484D9D"/>
    <w:rsid w:val="00534BF9"/>
    <w:rsid w:val="00553FAC"/>
    <w:rsid w:val="005C3A44"/>
    <w:rsid w:val="00613A46"/>
    <w:rsid w:val="006850FF"/>
    <w:rsid w:val="006A6C96"/>
    <w:rsid w:val="006D6AF1"/>
    <w:rsid w:val="006F0B42"/>
    <w:rsid w:val="007028CF"/>
    <w:rsid w:val="007053B5"/>
    <w:rsid w:val="00730DA6"/>
    <w:rsid w:val="00735D44"/>
    <w:rsid w:val="0075654D"/>
    <w:rsid w:val="007F034C"/>
    <w:rsid w:val="008177E8"/>
    <w:rsid w:val="0089222B"/>
    <w:rsid w:val="008A039B"/>
    <w:rsid w:val="008B0A35"/>
    <w:rsid w:val="008F4493"/>
    <w:rsid w:val="0090428B"/>
    <w:rsid w:val="00985513"/>
    <w:rsid w:val="00985AE9"/>
    <w:rsid w:val="009B76C1"/>
    <w:rsid w:val="009C2681"/>
    <w:rsid w:val="009E0CF3"/>
    <w:rsid w:val="009F4C15"/>
    <w:rsid w:val="00A252A2"/>
    <w:rsid w:val="00A25AE3"/>
    <w:rsid w:val="00AB1166"/>
    <w:rsid w:val="00B12EC5"/>
    <w:rsid w:val="00B707AD"/>
    <w:rsid w:val="00B90CCA"/>
    <w:rsid w:val="00C203A4"/>
    <w:rsid w:val="00D85D8B"/>
    <w:rsid w:val="00DC413C"/>
    <w:rsid w:val="00DD1D8F"/>
    <w:rsid w:val="00E008D0"/>
    <w:rsid w:val="00E12965"/>
    <w:rsid w:val="00E739D5"/>
    <w:rsid w:val="00EB386E"/>
    <w:rsid w:val="00EC0FCA"/>
    <w:rsid w:val="00EC32B2"/>
    <w:rsid w:val="00EC7143"/>
    <w:rsid w:val="00EC7CAD"/>
    <w:rsid w:val="00F04E3F"/>
    <w:rsid w:val="00F54F4A"/>
    <w:rsid w:val="00F85767"/>
    <w:rsid w:val="00FA3F64"/>
    <w:rsid w:val="00FF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754E6"/>
  <w15:docId w15:val="{405C9840-2467-4D63-8123-36C88EC5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C1F6B"/>
    <w:pPr>
      <w:spacing w:after="120"/>
      <w:jc w:val="both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170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caps/>
      <w:color w:val="000000" w:themeColor="text1"/>
      <w:sz w:val="36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7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5A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D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F170CC"/>
    <w:rPr>
      <w:rFonts w:ascii="Arial" w:eastAsiaTheme="majorEastAsia" w:hAnsi="Arial" w:cstheme="majorBidi"/>
      <w:b/>
      <w:bCs/>
      <w:caps/>
      <w:color w:val="000000" w:themeColor="text1"/>
      <w:sz w:val="36"/>
      <w:szCs w:val="28"/>
      <w:lang w:val="en-GB"/>
    </w:rPr>
  </w:style>
  <w:style w:type="character" w:customStyle="1" w:styleId="OdstavecseseznamemChar">
    <w:name w:val="Odstavec se seznamem Char"/>
    <w:link w:val="Odstavecseseznamem"/>
    <w:uiPriority w:val="34"/>
    <w:qFormat/>
    <w:rsid w:val="008B516B"/>
    <w:rPr>
      <w:rFonts w:ascii="Arial" w:hAnsi="Arial"/>
      <w:szCs w:val="22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qFormat/>
    <w:rsid w:val="00B90D8C"/>
    <w:rPr>
      <w:rFonts w:ascii="Calibri" w:hAnsi="Calibri"/>
      <w:sz w:val="22"/>
      <w:szCs w:val="22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60E5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1634C7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1634C7"/>
    <w:rPr>
      <w:rFonts w:ascii="Arial" w:hAnsi="Arial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1634C7"/>
    <w:rPr>
      <w:rFonts w:ascii="Arial" w:hAnsi="Arial"/>
      <w:b/>
      <w:bCs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DA7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ovodkaz">
    <w:name w:val="Internetový odkaz"/>
    <w:basedOn w:val="Standardnpsmoodstavce"/>
    <w:uiPriority w:val="99"/>
    <w:unhideWhenUsed/>
    <w:rsid w:val="003D255E"/>
    <w:rPr>
      <w:color w:val="0000FF" w:themeColor="hyperlink"/>
      <w:u w:val="single"/>
    </w:rPr>
  </w:style>
  <w:style w:type="character" w:customStyle="1" w:styleId="doplnte-zdroj">
    <w:name w:val="doplnte-zdroj"/>
    <w:basedOn w:val="Standardnpsmoodstavce"/>
    <w:qFormat/>
    <w:rsid w:val="00EC7943"/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932FD4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A92F55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F73DF3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AA5A9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mw-headline">
    <w:name w:val="mw-headline"/>
    <w:basedOn w:val="Standardnpsmoodstavce"/>
    <w:qFormat/>
    <w:rsid w:val="00AA5A95"/>
  </w:style>
  <w:style w:type="character" w:customStyle="1" w:styleId="mw-editsection1">
    <w:name w:val="mw-editsection1"/>
    <w:basedOn w:val="Standardnpsmoodstavce"/>
    <w:qFormat/>
    <w:rsid w:val="00AA5A95"/>
  </w:style>
  <w:style w:type="character" w:customStyle="1" w:styleId="mw-editsection-bracket">
    <w:name w:val="mw-editsection-bracket"/>
    <w:basedOn w:val="Standardnpsmoodstavce"/>
    <w:qFormat/>
    <w:rsid w:val="00AA5A95"/>
  </w:style>
  <w:style w:type="character" w:customStyle="1" w:styleId="mw-editsection-divider1">
    <w:name w:val="mw-editsection-divider1"/>
    <w:basedOn w:val="Standardnpsmoodstavce"/>
    <w:qFormat/>
    <w:rsid w:val="00AA5A95"/>
    <w:rPr>
      <w:color w:val="555555"/>
    </w:rPr>
  </w:style>
  <w:style w:type="character" w:customStyle="1" w:styleId="NzevChar">
    <w:name w:val="Název Char"/>
    <w:basedOn w:val="Standardnpsmoodstavce"/>
    <w:link w:val="Nzev"/>
    <w:qFormat/>
    <w:rsid w:val="0040609D"/>
    <w:rPr>
      <w:rFonts w:eastAsia="Times New Roman"/>
      <w:b/>
      <w:bCs/>
      <w:sz w:val="24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qFormat/>
    <w:rsid w:val="00DB671A"/>
  </w:style>
  <w:style w:type="character" w:customStyle="1" w:styleId="ZkladntextChar">
    <w:name w:val="Základní text Char"/>
    <w:basedOn w:val="Standardnpsmoodstavce"/>
    <w:link w:val="Zkladntext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qFormat/>
    <w:rsid w:val="0094654D"/>
    <w:rPr>
      <w:rFonts w:eastAsia="Times New Roman"/>
      <w:sz w:val="24"/>
      <w:szCs w:val="24"/>
      <w:lang w:eastAsia="cs-CZ"/>
    </w:rPr>
  </w:style>
  <w:style w:type="character" w:customStyle="1" w:styleId="Zdraznn1">
    <w:name w:val="Zdůraznění1"/>
    <w:basedOn w:val="Standardnpsmoodstavce"/>
    <w:uiPriority w:val="20"/>
    <w:qFormat/>
    <w:rsid w:val="0020163F"/>
    <w:rPr>
      <w:i/>
      <w:iCs/>
    </w:rPr>
  </w:style>
  <w:style w:type="character" w:customStyle="1" w:styleId="nadpisek3Char">
    <w:name w:val="nadpisek3 Char"/>
    <w:basedOn w:val="Standardnpsmoodstavce"/>
    <w:qFormat/>
    <w:rsid w:val="00BB1964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Nadpisek2Char">
    <w:name w:val="Nadpisek2 Char"/>
    <w:basedOn w:val="Nadpis1Char"/>
    <w:link w:val="Nadpisek2"/>
    <w:qFormat/>
    <w:rsid w:val="00BB1964"/>
    <w:rPr>
      <w:rFonts w:ascii="Arial" w:eastAsiaTheme="majorEastAsia" w:hAnsi="Arial" w:cstheme="majorBidi"/>
      <w:b/>
      <w:bCs/>
      <w:caps w:val="0"/>
      <w:smallCaps w:val="0"/>
      <w:color w:val="000099"/>
      <w:sz w:val="28"/>
      <w:szCs w:val="28"/>
      <w:lang w:val="en-GB"/>
    </w:rPr>
  </w:style>
  <w:style w:type="character" w:customStyle="1" w:styleId="Nadpisek3Char0">
    <w:name w:val="Nadpisek3 Char"/>
    <w:basedOn w:val="nadpisek3Char"/>
    <w:link w:val="nadpisek3"/>
    <w:qFormat/>
    <w:rsid w:val="00BB1964"/>
    <w:rPr>
      <w:rFonts w:ascii="Arial" w:eastAsiaTheme="majorEastAsia" w:hAnsi="Arial" w:cstheme="majorBidi"/>
      <w:b/>
      <w:bCs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qFormat/>
    <w:rsid w:val="00261606"/>
    <w:rPr>
      <w:rFonts w:ascii="Arial" w:hAnsi="Arial"/>
      <w:szCs w:val="22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8D78CF"/>
    <w:rPr>
      <w:rFonts w:ascii="Arial" w:hAnsi="Arial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8D78CF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DA640F"/>
    <w:rPr>
      <w:color w:val="605E5C"/>
      <w:shd w:val="clear" w:color="auto" w:fill="E1DFDD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link w:val="ZkladntextChar"/>
    <w:rsid w:val="0094654D"/>
    <w:pPr>
      <w:spacing w:after="0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ormlnIROP">
    <w:name w:val="Normální IROP"/>
    <w:basedOn w:val="Normln"/>
    <w:qFormat/>
    <w:rsid w:val="00010419"/>
    <w:pPr>
      <w:spacing w:after="240" w:line="312" w:lineRule="auto"/>
    </w:pPr>
    <w:rPr>
      <w:rFonts w:ascii="Times New Roman" w:hAnsi="Times New Roman"/>
      <w:sz w:val="24"/>
      <w:lang w:eastAsia="cs-CZ"/>
    </w:rPr>
  </w:style>
  <w:style w:type="paragraph" w:customStyle="1" w:styleId="Nadpisek2">
    <w:name w:val="Nadpisek2"/>
    <w:basedOn w:val="Nadpis1"/>
    <w:next w:val="nadpisek3"/>
    <w:link w:val="Nadpisek2Char"/>
    <w:qFormat/>
    <w:rsid w:val="00CA0CFF"/>
    <w:pPr>
      <w:spacing w:before="0" w:after="360"/>
      <w:jc w:val="left"/>
    </w:pPr>
    <w:rPr>
      <w:caps w:val="0"/>
      <w:color w:val="000099"/>
      <w:sz w:val="28"/>
      <w:lang w:val="cs-CZ"/>
    </w:rPr>
  </w:style>
  <w:style w:type="paragraph" w:customStyle="1" w:styleId="obrpopis">
    <w:name w:val="obr_popis"/>
    <w:basedOn w:val="Normln"/>
    <w:next w:val="Normln"/>
    <w:qFormat/>
    <w:rsid w:val="00010419"/>
    <w:pPr>
      <w:jc w:val="center"/>
    </w:pPr>
    <w:rPr>
      <w:i/>
    </w:rPr>
  </w:style>
  <w:style w:type="paragraph" w:customStyle="1" w:styleId="nadpisek3">
    <w:name w:val="nadpisek3"/>
    <w:basedOn w:val="Nadpisek2"/>
    <w:link w:val="Nadpisek3Char0"/>
    <w:qFormat/>
    <w:rsid w:val="006410C9"/>
    <w:pPr>
      <w:outlineLvl w:val="1"/>
    </w:pPr>
    <w:rPr>
      <w:color w:val="auto"/>
      <w:sz w:val="24"/>
    </w:rPr>
  </w:style>
  <w:style w:type="paragraph" w:customStyle="1" w:styleId="napisek4">
    <w:name w:val="napisek4"/>
    <w:basedOn w:val="nadpisek3"/>
    <w:next w:val="nadpisek3"/>
    <w:qFormat/>
    <w:rsid w:val="006410C9"/>
    <w:pPr>
      <w:spacing w:after="240"/>
      <w:outlineLvl w:val="2"/>
    </w:pPr>
    <w:rPr>
      <w:sz w:val="22"/>
    </w:rPr>
  </w:style>
  <w:style w:type="paragraph" w:styleId="Bezmezer">
    <w:name w:val="No Spacing"/>
    <w:uiPriority w:val="1"/>
    <w:qFormat/>
    <w:rsid w:val="00010419"/>
    <w:pPr>
      <w:jc w:val="both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link w:val="OdstavecseseznamemChar"/>
    <w:uiPriority w:val="34"/>
    <w:qFormat/>
    <w:rsid w:val="008B516B"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Zpat">
    <w:name w:val="footer"/>
    <w:basedOn w:val="Normln"/>
    <w:link w:val="Zpat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60E52"/>
    <w:pPr>
      <w:spacing w:after="0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1634C7"/>
    <w:rPr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1634C7"/>
    <w:rPr>
      <w:b/>
      <w:bCs/>
    </w:rPr>
  </w:style>
  <w:style w:type="paragraph" w:styleId="Normlnweb">
    <w:name w:val="Normal (Web)"/>
    <w:basedOn w:val="Normln"/>
    <w:uiPriority w:val="99"/>
    <w:unhideWhenUsed/>
    <w:qFormat/>
    <w:rsid w:val="000C3A68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0609D"/>
    <w:pPr>
      <w:spacing w:after="0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paragraph" w:customStyle="1" w:styleId="Default">
    <w:name w:val="Default"/>
    <w:qFormat/>
    <w:rsid w:val="000226D0"/>
    <w:rPr>
      <w:color w:val="000000"/>
      <w:sz w:val="24"/>
      <w:szCs w:val="24"/>
    </w:rPr>
  </w:style>
  <w:style w:type="paragraph" w:customStyle="1" w:styleId="perex">
    <w:name w:val="perex"/>
    <w:basedOn w:val="Normln"/>
    <w:qFormat/>
    <w:rsid w:val="00070E87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94654D"/>
    <w:pPr>
      <w:ind w:left="283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text-prispevku">
    <w:name w:val="text-prispevku"/>
    <w:basedOn w:val="Normln"/>
    <w:qFormat/>
    <w:rsid w:val="0094654D"/>
    <w:pPr>
      <w:spacing w:beforeAutospacing="1" w:afterAutospacing="1"/>
    </w:pPr>
    <w:rPr>
      <w:rFonts w:eastAsia="Times New Roman" w:cs="Arial"/>
      <w:color w:val="000000"/>
      <w:sz w:val="18"/>
      <w:szCs w:val="18"/>
      <w:lang w:eastAsia="cs-CZ"/>
    </w:rPr>
  </w:style>
  <w:style w:type="paragraph" w:customStyle="1" w:styleId="Pa10">
    <w:name w:val="Pa10"/>
    <w:basedOn w:val="Default"/>
    <w:next w:val="Default"/>
    <w:uiPriority w:val="99"/>
    <w:qFormat/>
    <w:rsid w:val="0067304D"/>
    <w:pPr>
      <w:spacing w:line="247" w:lineRule="atLeast"/>
    </w:pPr>
    <w:rPr>
      <w:rFonts w:ascii="Times CE" w:hAnsi="Times CE"/>
      <w:color w:val="auto"/>
    </w:rPr>
  </w:style>
  <w:style w:type="paragraph" w:customStyle="1" w:styleId="Nadpisek30">
    <w:name w:val="Nadpisek3"/>
    <w:basedOn w:val="nadpisek3"/>
    <w:qFormat/>
    <w:rsid w:val="00BB1964"/>
    <w:pPr>
      <w:outlineLvl w:val="0"/>
    </w:pPr>
    <w:rPr>
      <w:szCs w:val="24"/>
    </w:rPr>
  </w:style>
  <w:style w:type="paragraph" w:styleId="Zkladntext2">
    <w:name w:val="Body Text 2"/>
    <w:basedOn w:val="Normln"/>
    <w:link w:val="Zkladntext2Char"/>
    <w:uiPriority w:val="99"/>
    <w:semiHidden/>
    <w:unhideWhenUsed/>
    <w:qFormat/>
    <w:rsid w:val="00261606"/>
    <w:pPr>
      <w:spacing w:line="48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78CF"/>
    <w:pPr>
      <w:spacing w:after="0"/>
    </w:pPr>
    <w:rPr>
      <w:szCs w:val="20"/>
    </w:r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numbering" w:customStyle="1" w:styleId="Styl1">
    <w:name w:val="Styl1"/>
    <w:uiPriority w:val="99"/>
    <w:qFormat/>
    <w:rsid w:val="00E03779"/>
  </w:style>
  <w:style w:type="numbering" w:customStyle="1" w:styleId="Styl2">
    <w:name w:val="Styl2"/>
    <w:uiPriority w:val="99"/>
    <w:qFormat/>
    <w:rsid w:val="000A22E8"/>
  </w:style>
  <w:style w:type="table" w:styleId="Mkatabulky">
    <w:name w:val="Table Grid"/>
    <w:basedOn w:val="Normlntabulka"/>
    <w:uiPriority w:val="59"/>
    <w:rsid w:val="00711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uiPriority w:val="59"/>
    <w:rsid w:val="002E0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A3F64"/>
    <w:pPr>
      <w:suppressAutoHyphens w:val="0"/>
    </w:pPr>
    <w:rPr>
      <w:rFonts w:ascii="Arial" w:hAnsi="Arial"/>
      <w:szCs w:val="22"/>
    </w:rPr>
  </w:style>
  <w:style w:type="character" w:styleId="Hypertextovodkaz">
    <w:name w:val="Hyperlink"/>
    <w:basedOn w:val="Standardnpsmoodstavce"/>
    <w:uiPriority w:val="99"/>
    <w:unhideWhenUsed/>
    <w:rsid w:val="008922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ur.cz/" TargetMode="External"/><Relationship Id="rId13" Type="http://schemas.openxmlformats.org/officeDocument/2006/relationships/hyperlink" Target="http://portal.uur.cz/" TargetMode="External"/><Relationship Id="rId18" Type="http://schemas.openxmlformats.org/officeDocument/2006/relationships/hyperlink" Target="https://www.mmr.cz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ortal.uur.cz/" TargetMode="External"/><Relationship Id="rId17" Type="http://schemas.openxmlformats.org/officeDocument/2006/relationships/hyperlink" Target="https://portal.uur.cz/nastroje-uzemniho-planovani-v-ceske-republice/upd-a-upp-kraju.asp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www.mmr.cz/" TargetMode="External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ur.cz/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mmr.cz/cs/ministerstvo/stavebni-pravo/koncepce-a-strategie/politika-uzemniho-rozvoje-ceske-republiky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www.mmr.cz/cs/ministerstvo/stavebni-pravo/koncepce-a-strategie/politika-uzemniho-rozvoje-ceske-republik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ortal.uur.cz/" TargetMode="External"/><Relationship Id="rId14" Type="http://schemas.openxmlformats.org/officeDocument/2006/relationships/hyperlink" Target="http://portal.uur.cz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3A102-6C2B-4DD8-8852-EA73AB19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3888</Words>
  <Characters>22941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AC-S</dc:creator>
  <dc:description/>
  <cp:lastModifiedBy>Vladimíra Labounková</cp:lastModifiedBy>
  <cp:revision>2</cp:revision>
  <cp:lastPrinted>2022-11-18T15:13:00Z</cp:lastPrinted>
  <dcterms:created xsi:type="dcterms:W3CDTF">2022-12-05T08:30:00Z</dcterms:created>
  <dcterms:modified xsi:type="dcterms:W3CDTF">2022-12-05T08:30:00Z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